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0960AE" w14:textId="77777777" w:rsidR="006F0BB4" w:rsidRDefault="006F0BB4" w:rsidP="006F0BB4">
      <w:pPr>
        <w:rPr>
          <w:rFonts w:ascii="Arial" w:hAnsi="Arial" w:cs="Arial"/>
          <w:b/>
          <w:sz w:val="28"/>
          <w:szCs w:val="28"/>
        </w:rPr>
      </w:pPr>
    </w:p>
    <w:p w14:paraId="414423D6" w14:textId="17CA5BDB" w:rsidR="006F0BB4" w:rsidRDefault="006E2949" w:rsidP="006F0BB4">
      <w:pPr>
        <w:rPr>
          <w:rFonts w:ascii="Calibri" w:hAnsi="Calibri" w:cs="Arial"/>
          <w:b/>
        </w:rPr>
      </w:pPr>
      <w:r>
        <w:rPr>
          <w:rFonts w:ascii="Calibri" w:hAnsi="Calibri" w:cs="Arial"/>
          <w:b/>
        </w:rPr>
        <w:t>Question from member of the public and response for the ICB Board meeting held on 27 September 2022</w:t>
      </w:r>
    </w:p>
    <w:p w14:paraId="4D540E5D" w14:textId="77777777" w:rsidR="006E2949" w:rsidRPr="00E7786C" w:rsidRDefault="006E2949" w:rsidP="006F0BB4">
      <w:pPr>
        <w:rPr>
          <w:rFonts w:ascii="Calibri" w:hAnsi="Calibri" w:cs="Arial"/>
          <w:b/>
        </w:rPr>
      </w:pPr>
    </w:p>
    <w:p w14:paraId="59E74007" w14:textId="4C545BF8" w:rsidR="0073089F" w:rsidRPr="006D3690" w:rsidRDefault="0073089F" w:rsidP="0073089F">
      <w:pPr>
        <w:pStyle w:val="xmsonormal"/>
        <w:shd w:val="clear" w:color="auto" w:fill="FFFFFF"/>
        <w:spacing w:before="2" w:after="2"/>
        <w:rPr>
          <w:sz w:val="24"/>
          <w:szCs w:val="24"/>
        </w:rPr>
      </w:pPr>
      <w:r w:rsidRPr="006D3690">
        <w:rPr>
          <w:i/>
          <w:iCs/>
          <w:color w:val="212121"/>
          <w:sz w:val="24"/>
          <w:szCs w:val="24"/>
          <w:shd w:val="clear" w:color="auto" w:fill="FFFFFF"/>
        </w:rPr>
        <w:t xml:space="preserve">"As a citizen, born, working and living in Gloucestershire what health inequality measures, and approaches to measuring health inequalities, will One Gloucestershire Integrated Care System Board seek insight and oversee so as to be fully assured, and fully re assured, that as a system, One Gloucestershire Integrated Care System </w:t>
      </w:r>
      <w:proofErr w:type="gramStart"/>
      <w:r w:rsidRPr="006D3690">
        <w:rPr>
          <w:i/>
          <w:iCs/>
          <w:color w:val="212121"/>
          <w:sz w:val="24"/>
          <w:szCs w:val="24"/>
          <w:shd w:val="clear" w:color="auto" w:fill="FFFFFF"/>
        </w:rPr>
        <w:t>Board  is</w:t>
      </w:r>
      <w:proofErr w:type="gramEnd"/>
      <w:r w:rsidRPr="006D3690">
        <w:rPr>
          <w:i/>
          <w:iCs/>
          <w:color w:val="212121"/>
          <w:sz w:val="24"/>
          <w:szCs w:val="24"/>
          <w:shd w:val="clear" w:color="auto" w:fill="FFFFFF"/>
        </w:rPr>
        <w:t xml:space="preserve"> consistently addressing health inequalities in a meaningful, </w:t>
      </w:r>
      <w:r w:rsidRPr="006D3690">
        <w:rPr>
          <w:i/>
          <w:iCs/>
          <w:color w:val="212121"/>
          <w:sz w:val="24"/>
          <w:szCs w:val="24"/>
        </w:rPr>
        <w:t>timely and sustained way in serving all the people and communities, now and into the future?</w:t>
      </w:r>
      <w:r w:rsidRPr="006D3690">
        <w:rPr>
          <w:rFonts w:ascii="inherit" w:hAnsi="inherit"/>
          <w:i/>
          <w:iCs/>
          <w:color w:val="212121"/>
          <w:sz w:val="24"/>
          <w:szCs w:val="24"/>
        </w:rPr>
        <w:t>"</w:t>
      </w:r>
      <w:r w:rsidR="007E5FCF" w:rsidRPr="007E5FCF">
        <w:rPr>
          <w:rFonts w:ascii="inherit" w:hAnsi="inherit"/>
          <w:i/>
          <w:iCs/>
          <w:color w:val="212121"/>
          <w:sz w:val="24"/>
          <w:szCs w:val="24"/>
        </w:rPr>
        <w:t xml:space="preserve"> </w:t>
      </w:r>
      <w:r w:rsidR="007E5FCF">
        <w:rPr>
          <w:rFonts w:ascii="inherit" w:hAnsi="inherit"/>
          <w:i/>
          <w:iCs/>
          <w:color w:val="212121"/>
          <w:sz w:val="24"/>
          <w:szCs w:val="24"/>
        </w:rPr>
        <w:t>This question was from Bren McInerney</w:t>
      </w:r>
    </w:p>
    <w:p w14:paraId="179024BD" w14:textId="77777777" w:rsidR="0073089F" w:rsidRDefault="0073089F" w:rsidP="0073089F">
      <w:pPr>
        <w:pStyle w:val="NoSpacing"/>
        <w:rPr>
          <w:sz w:val="24"/>
          <w:szCs w:val="24"/>
        </w:rPr>
      </w:pPr>
    </w:p>
    <w:p w14:paraId="0FDE121F" w14:textId="77777777" w:rsidR="0073089F" w:rsidRPr="006E642F" w:rsidRDefault="0073089F" w:rsidP="006E642F">
      <w:pPr>
        <w:pStyle w:val="NoSpacing"/>
        <w:jc w:val="both"/>
        <w:rPr>
          <w:rFonts w:ascii="Arial" w:hAnsi="Arial" w:cs="Arial"/>
        </w:rPr>
      </w:pPr>
      <w:r w:rsidRPr="006E642F">
        <w:rPr>
          <w:rFonts w:ascii="Arial" w:hAnsi="Arial" w:cs="Arial"/>
        </w:rPr>
        <w:t>Improving equality, and equality of health outcomes is a core aim of the Integrated Care System and understanding the progress we are making – and the impact that has on people’s lives in Gloucestershire – is both a vital part of our assurance and a measure of our success.</w:t>
      </w:r>
    </w:p>
    <w:p w14:paraId="5569F039" w14:textId="77777777" w:rsidR="0073089F" w:rsidRPr="006E642F" w:rsidRDefault="0073089F" w:rsidP="006E642F">
      <w:pPr>
        <w:pStyle w:val="NoSpacing"/>
        <w:jc w:val="both"/>
        <w:rPr>
          <w:rFonts w:ascii="Arial" w:hAnsi="Arial" w:cs="Arial"/>
        </w:rPr>
      </w:pPr>
    </w:p>
    <w:p w14:paraId="5C31A70D" w14:textId="28AAEEC3" w:rsidR="0073089F" w:rsidRPr="006E642F" w:rsidRDefault="0073089F" w:rsidP="006E642F">
      <w:pPr>
        <w:pStyle w:val="NoSpacing"/>
        <w:jc w:val="both"/>
        <w:rPr>
          <w:rFonts w:ascii="Arial" w:hAnsi="Arial" w:cs="Arial"/>
        </w:rPr>
      </w:pPr>
      <w:r w:rsidRPr="006E642F">
        <w:rPr>
          <w:rFonts w:ascii="Arial" w:hAnsi="Arial" w:cs="Arial"/>
        </w:rPr>
        <w:t xml:space="preserve">The way we seek insight and oversee this work falls into two categories: quantitative/linear data monitored over time to understand the </w:t>
      </w:r>
      <w:proofErr w:type="gramStart"/>
      <w:r w:rsidRPr="006E642F">
        <w:rPr>
          <w:rFonts w:ascii="Arial" w:hAnsi="Arial" w:cs="Arial"/>
        </w:rPr>
        <w:t>short, medium and long term</w:t>
      </w:r>
      <w:proofErr w:type="gramEnd"/>
      <w:r w:rsidRPr="006E642F">
        <w:rPr>
          <w:rFonts w:ascii="Arial" w:hAnsi="Arial" w:cs="Arial"/>
        </w:rPr>
        <w:t xml:space="preserve"> shift at both macro (policy) and micro (service, clinical pathway, community) level; and qualitative/relational data and insight, grounded in what meaningful change looks like from the point of view of </w:t>
      </w:r>
      <w:r w:rsidR="00921791" w:rsidRPr="006E642F">
        <w:rPr>
          <w:rFonts w:ascii="Arial" w:hAnsi="Arial" w:cs="Arial"/>
        </w:rPr>
        <w:t>people and communities</w:t>
      </w:r>
      <w:r w:rsidRPr="006E642F">
        <w:rPr>
          <w:rFonts w:ascii="Arial" w:hAnsi="Arial" w:cs="Arial"/>
        </w:rPr>
        <w:t xml:space="preserve">.  </w:t>
      </w:r>
    </w:p>
    <w:p w14:paraId="77E29096" w14:textId="77777777" w:rsidR="0073089F" w:rsidRPr="006E642F" w:rsidRDefault="0073089F" w:rsidP="006E642F">
      <w:pPr>
        <w:pStyle w:val="NoSpacing"/>
        <w:jc w:val="both"/>
        <w:rPr>
          <w:rFonts w:ascii="Arial" w:hAnsi="Arial" w:cs="Arial"/>
        </w:rPr>
      </w:pPr>
    </w:p>
    <w:p w14:paraId="49D1B5CA" w14:textId="77777777" w:rsidR="0073089F" w:rsidRPr="006E642F" w:rsidRDefault="0073089F" w:rsidP="006E642F">
      <w:pPr>
        <w:pStyle w:val="NoSpacing"/>
        <w:jc w:val="both"/>
        <w:rPr>
          <w:rFonts w:ascii="Arial" w:hAnsi="Arial" w:cs="Arial"/>
        </w:rPr>
      </w:pPr>
      <w:r w:rsidRPr="006E642F">
        <w:rPr>
          <w:rFonts w:ascii="Arial" w:hAnsi="Arial" w:cs="Arial"/>
        </w:rPr>
        <w:t>The first category, as you would expect, encompasses more data- and policy-driven dimensions and includes the following:</w:t>
      </w:r>
    </w:p>
    <w:p w14:paraId="0D37E46C" w14:textId="77777777" w:rsidR="0073089F" w:rsidRPr="006E642F" w:rsidRDefault="0073089F" w:rsidP="006E642F">
      <w:pPr>
        <w:pStyle w:val="NoSpacing"/>
        <w:jc w:val="both"/>
        <w:rPr>
          <w:rFonts w:ascii="Arial" w:hAnsi="Arial" w:cs="Arial"/>
        </w:rPr>
      </w:pPr>
    </w:p>
    <w:p w14:paraId="3442B523" w14:textId="77777777" w:rsidR="0073089F" w:rsidRPr="006E642F" w:rsidRDefault="0073089F" w:rsidP="006E642F">
      <w:pPr>
        <w:pStyle w:val="NoSpacing"/>
        <w:numPr>
          <w:ilvl w:val="0"/>
          <w:numId w:val="44"/>
        </w:numPr>
        <w:jc w:val="both"/>
        <w:rPr>
          <w:rFonts w:ascii="Arial" w:hAnsi="Arial" w:cs="Arial"/>
        </w:rPr>
      </w:pPr>
      <w:r w:rsidRPr="006E642F">
        <w:rPr>
          <w:rFonts w:ascii="Arial" w:hAnsi="Arial" w:cs="Arial"/>
        </w:rPr>
        <w:t>A countywide Health Equalities dashboard showing long- and medium range statistical metrics for the county and districts against key Marmot Policy areas including:</w:t>
      </w:r>
    </w:p>
    <w:p w14:paraId="7E2BD880" w14:textId="77777777" w:rsidR="0073089F" w:rsidRPr="006E642F" w:rsidRDefault="0073089F" w:rsidP="006E642F">
      <w:pPr>
        <w:pStyle w:val="NoSpacing"/>
        <w:numPr>
          <w:ilvl w:val="1"/>
          <w:numId w:val="44"/>
        </w:numPr>
        <w:jc w:val="both"/>
        <w:rPr>
          <w:rFonts w:ascii="Arial" w:hAnsi="Arial" w:cs="Arial"/>
        </w:rPr>
      </w:pPr>
      <w:r w:rsidRPr="006E642F">
        <w:rPr>
          <w:rFonts w:ascii="Arial" w:hAnsi="Arial" w:cs="Arial"/>
        </w:rPr>
        <w:t>Inequality in life expectancy and healthy life expectancy</w:t>
      </w:r>
    </w:p>
    <w:p w14:paraId="731DB011" w14:textId="77777777" w:rsidR="0073089F" w:rsidRPr="006E642F" w:rsidRDefault="0073089F" w:rsidP="006E642F">
      <w:pPr>
        <w:pStyle w:val="NoSpacing"/>
        <w:numPr>
          <w:ilvl w:val="1"/>
          <w:numId w:val="44"/>
        </w:numPr>
        <w:jc w:val="both"/>
        <w:rPr>
          <w:rFonts w:ascii="Arial" w:hAnsi="Arial" w:cs="Arial"/>
        </w:rPr>
      </w:pPr>
      <w:r w:rsidRPr="006E642F">
        <w:rPr>
          <w:rFonts w:ascii="Arial" w:hAnsi="Arial" w:cs="Arial"/>
        </w:rPr>
        <w:t>Under 75 mortality rates</w:t>
      </w:r>
    </w:p>
    <w:p w14:paraId="54F868E5" w14:textId="77777777" w:rsidR="0073089F" w:rsidRPr="006E642F" w:rsidRDefault="0073089F" w:rsidP="006E642F">
      <w:pPr>
        <w:pStyle w:val="NoSpacing"/>
        <w:numPr>
          <w:ilvl w:val="1"/>
          <w:numId w:val="44"/>
        </w:numPr>
        <w:jc w:val="both"/>
        <w:rPr>
          <w:rFonts w:ascii="Arial" w:hAnsi="Arial" w:cs="Arial"/>
        </w:rPr>
      </w:pPr>
      <w:r w:rsidRPr="006E642F">
        <w:rPr>
          <w:rFonts w:ascii="Arial" w:hAnsi="Arial" w:cs="Arial"/>
        </w:rPr>
        <w:t xml:space="preserve">Prevalence of smoking, obesity, physical </w:t>
      </w:r>
      <w:proofErr w:type="gramStart"/>
      <w:r w:rsidRPr="006E642F">
        <w:rPr>
          <w:rFonts w:ascii="Arial" w:hAnsi="Arial" w:cs="Arial"/>
        </w:rPr>
        <w:t>inactivity</w:t>
      </w:r>
      <w:proofErr w:type="gramEnd"/>
      <w:r w:rsidRPr="006E642F">
        <w:rPr>
          <w:rFonts w:ascii="Arial" w:hAnsi="Arial" w:cs="Arial"/>
        </w:rPr>
        <w:t xml:space="preserve"> and anxiety </w:t>
      </w:r>
    </w:p>
    <w:p w14:paraId="58DD089C" w14:textId="6F7BCD53" w:rsidR="0073089F" w:rsidRPr="006E642F" w:rsidRDefault="00862D26" w:rsidP="006E642F">
      <w:pPr>
        <w:pStyle w:val="NoSpacing"/>
        <w:numPr>
          <w:ilvl w:val="0"/>
          <w:numId w:val="44"/>
        </w:numPr>
        <w:jc w:val="both"/>
        <w:rPr>
          <w:rFonts w:ascii="Arial" w:hAnsi="Arial" w:cs="Arial"/>
        </w:rPr>
      </w:pPr>
      <w:r w:rsidRPr="006E642F">
        <w:rPr>
          <w:rFonts w:ascii="Arial" w:hAnsi="Arial" w:cs="Arial"/>
        </w:rPr>
        <w:t xml:space="preserve">A regular Integrated Performance Report to Integrated Care Board (ICB) providing an assessment </w:t>
      </w:r>
      <w:proofErr w:type="gramStart"/>
      <w:r w:rsidRPr="006E642F">
        <w:rPr>
          <w:rFonts w:ascii="Arial" w:hAnsi="Arial" w:cs="Arial"/>
        </w:rPr>
        <w:t>against  both</w:t>
      </w:r>
      <w:proofErr w:type="gramEnd"/>
      <w:r w:rsidR="0073089F" w:rsidRPr="006E642F">
        <w:rPr>
          <w:rFonts w:ascii="Arial" w:hAnsi="Arial" w:cs="Arial"/>
        </w:rPr>
        <w:t xml:space="preserve"> nationally-set</w:t>
      </w:r>
      <w:r w:rsidRPr="006E642F">
        <w:rPr>
          <w:rStyle w:val="FootnoteReference"/>
          <w:rFonts w:ascii="Arial" w:hAnsi="Arial" w:cs="Arial"/>
        </w:rPr>
        <w:footnoteReference w:id="1"/>
      </w:r>
      <w:r w:rsidRPr="006E642F">
        <w:rPr>
          <w:rFonts w:ascii="Arial" w:hAnsi="Arial" w:cs="Arial"/>
        </w:rPr>
        <w:t xml:space="preserve"> as well as locally important inequalities related metrics which are aligned to our ICS programmes of work</w:t>
      </w:r>
      <w:r w:rsidR="008620AE" w:rsidRPr="006E642F">
        <w:rPr>
          <w:rFonts w:ascii="Arial" w:hAnsi="Arial" w:cs="Arial"/>
        </w:rPr>
        <w:t>. This includes areas</w:t>
      </w:r>
      <w:r w:rsidR="0073089F" w:rsidRPr="006E642F">
        <w:rPr>
          <w:rFonts w:ascii="Arial" w:hAnsi="Arial" w:cs="Arial"/>
        </w:rPr>
        <w:t xml:space="preserve"> such as:</w:t>
      </w:r>
    </w:p>
    <w:p w14:paraId="32A02655" w14:textId="77777777" w:rsidR="0073089F" w:rsidRPr="006E642F" w:rsidRDefault="0073089F" w:rsidP="006E642F">
      <w:pPr>
        <w:pStyle w:val="NoSpacing"/>
        <w:numPr>
          <w:ilvl w:val="1"/>
          <w:numId w:val="44"/>
        </w:numPr>
        <w:jc w:val="both"/>
        <w:rPr>
          <w:rFonts w:ascii="Arial" w:hAnsi="Arial" w:cs="Arial"/>
        </w:rPr>
      </w:pPr>
      <w:r w:rsidRPr="006E642F">
        <w:rPr>
          <w:rFonts w:ascii="Arial" w:hAnsi="Arial" w:cs="Arial"/>
        </w:rPr>
        <w:t>Number of people supported through the diabetes prevention programme</w:t>
      </w:r>
    </w:p>
    <w:p w14:paraId="44EB66AB" w14:textId="77777777" w:rsidR="0073089F" w:rsidRPr="006E642F" w:rsidRDefault="0073089F" w:rsidP="006E642F">
      <w:pPr>
        <w:pStyle w:val="NoSpacing"/>
        <w:numPr>
          <w:ilvl w:val="1"/>
          <w:numId w:val="44"/>
        </w:numPr>
        <w:jc w:val="both"/>
        <w:rPr>
          <w:rFonts w:ascii="Arial" w:hAnsi="Arial" w:cs="Arial"/>
        </w:rPr>
      </w:pPr>
      <w:r w:rsidRPr="006E642F">
        <w:rPr>
          <w:rFonts w:ascii="Arial" w:hAnsi="Arial" w:cs="Arial"/>
        </w:rPr>
        <w:t>Number of referrals to the NHS digital weight management services per 100k head of population</w:t>
      </w:r>
    </w:p>
    <w:p w14:paraId="15CE7528" w14:textId="77777777" w:rsidR="0073089F" w:rsidRPr="006E642F" w:rsidRDefault="0073089F" w:rsidP="006E642F">
      <w:pPr>
        <w:pStyle w:val="NoSpacing"/>
        <w:numPr>
          <w:ilvl w:val="1"/>
          <w:numId w:val="44"/>
        </w:numPr>
        <w:jc w:val="both"/>
        <w:rPr>
          <w:rFonts w:ascii="Arial" w:hAnsi="Arial" w:cs="Arial"/>
        </w:rPr>
      </w:pPr>
      <w:r w:rsidRPr="006E642F">
        <w:rPr>
          <w:rFonts w:ascii="Arial" w:hAnsi="Arial" w:cs="Arial"/>
        </w:rPr>
        <w:t>Proportion of acute or maternity inpatient settings offering smoking cessation services</w:t>
      </w:r>
    </w:p>
    <w:p w14:paraId="2C713A80" w14:textId="77777777" w:rsidR="0073089F" w:rsidRPr="006E642F" w:rsidRDefault="0073089F" w:rsidP="006E642F">
      <w:pPr>
        <w:pStyle w:val="NoSpacing"/>
        <w:numPr>
          <w:ilvl w:val="1"/>
          <w:numId w:val="44"/>
        </w:numPr>
        <w:jc w:val="both"/>
        <w:rPr>
          <w:rFonts w:ascii="Arial" w:hAnsi="Arial" w:cs="Arial"/>
        </w:rPr>
      </w:pPr>
      <w:r w:rsidRPr="006E642F">
        <w:rPr>
          <w:rFonts w:ascii="Arial" w:hAnsi="Arial" w:cs="Arial"/>
        </w:rPr>
        <w:t>Vaccination and screening population coverage targets</w:t>
      </w:r>
    </w:p>
    <w:p w14:paraId="0EDE1878" w14:textId="4BA41BC2" w:rsidR="0073089F" w:rsidRPr="006E642F" w:rsidRDefault="00921791" w:rsidP="006E642F">
      <w:pPr>
        <w:pStyle w:val="NoSpacing"/>
        <w:numPr>
          <w:ilvl w:val="0"/>
          <w:numId w:val="44"/>
        </w:numPr>
        <w:jc w:val="both"/>
        <w:rPr>
          <w:rFonts w:ascii="Arial" w:hAnsi="Arial" w:cs="Arial"/>
        </w:rPr>
      </w:pPr>
      <w:r w:rsidRPr="006E642F">
        <w:rPr>
          <w:rFonts w:ascii="Arial" w:hAnsi="Arial" w:cs="Arial"/>
        </w:rPr>
        <w:t xml:space="preserve">Integrated within the report above, </w:t>
      </w:r>
      <w:r w:rsidR="0073089F" w:rsidRPr="006E642F">
        <w:rPr>
          <w:rFonts w:ascii="Arial" w:hAnsi="Arial" w:cs="Arial"/>
        </w:rPr>
        <w:t>“Core20Plus5”: data which allows us to understand the relative experience, access and outcomes of key populations compared with that of the general county population</w:t>
      </w:r>
      <w:r w:rsidR="00862D26" w:rsidRPr="006E642F">
        <w:rPr>
          <w:rFonts w:ascii="Arial" w:hAnsi="Arial" w:cs="Arial"/>
        </w:rPr>
        <w:t xml:space="preserve"> (also part of the 22/23 NHS Oversight Framework)</w:t>
      </w:r>
      <w:r w:rsidR="0073089F" w:rsidRPr="006E642F">
        <w:rPr>
          <w:rFonts w:ascii="Arial" w:hAnsi="Arial" w:cs="Arial"/>
        </w:rPr>
        <w:t>.  The populations are:</w:t>
      </w:r>
    </w:p>
    <w:p w14:paraId="795D7082" w14:textId="77777777" w:rsidR="0073089F" w:rsidRPr="006E642F" w:rsidRDefault="0073089F" w:rsidP="006E642F">
      <w:pPr>
        <w:pStyle w:val="NoSpacing"/>
        <w:numPr>
          <w:ilvl w:val="1"/>
          <w:numId w:val="44"/>
        </w:numPr>
        <w:jc w:val="both"/>
        <w:rPr>
          <w:rFonts w:ascii="Arial" w:hAnsi="Arial" w:cs="Arial"/>
        </w:rPr>
      </w:pPr>
      <w:r w:rsidRPr="006E642F">
        <w:rPr>
          <w:rFonts w:ascii="Arial" w:hAnsi="Arial" w:cs="Arial"/>
        </w:rPr>
        <w:t>‘Core20’ – citizens who live in areas that count within the 20% most deprived nationally, as defined by the national Index of Multiple Deprivation</w:t>
      </w:r>
    </w:p>
    <w:p w14:paraId="10B21EEB" w14:textId="77777777" w:rsidR="0073089F" w:rsidRPr="006E642F" w:rsidRDefault="0073089F" w:rsidP="006E642F">
      <w:pPr>
        <w:pStyle w:val="NoSpacing"/>
        <w:numPr>
          <w:ilvl w:val="1"/>
          <w:numId w:val="44"/>
        </w:numPr>
        <w:jc w:val="both"/>
        <w:rPr>
          <w:rFonts w:ascii="Arial" w:hAnsi="Arial" w:cs="Arial"/>
        </w:rPr>
      </w:pPr>
      <w:r w:rsidRPr="006E642F">
        <w:rPr>
          <w:rFonts w:ascii="Arial" w:hAnsi="Arial" w:cs="Arial"/>
        </w:rPr>
        <w:t>‘Plus’ – the ICB has chosen to focus on citizens from racially minoritized communities, regardless of where they live</w:t>
      </w:r>
    </w:p>
    <w:p w14:paraId="4A15F2E2" w14:textId="77777777" w:rsidR="00921791" w:rsidRPr="006E642F" w:rsidRDefault="00921791" w:rsidP="006E642F">
      <w:pPr>
        <w:pStyle w:val="NoSpacing"/>
        <w:ind w:left="360"/>
        <w:jc w:val="both"/>
        <w:rPr>
          <w:rFonts w:ascii="Arial" w:hAnsi="Arial" w:cs="Arial"/>
        </w:rPr>
      </w:pPr>
    </w:p>
    <w:p w14:paraId="1C58E23C" w14:textId="7074C0D1" w:rsidR="0073089F" w:rsidRPr="006E642F" w:rsidRDefault="0073089F" w:rsidP="006E642F">
      <w:pPr>
        <w:pStyle w:val="NoSpacing"/>
        <w:ind w:left="360"/>
        <w:jc w:val="both"/>
        <w:rPr>
          <w:rFonts w:ascii="Arial" w:hAnsi="Arial" w:cs="Arial"/>
        </w:rPr>
      </w:pPr>
      <w:r w:rsidRPr="006E642F">
        <w:rPr>
          <w:rFonts w:ascii="Arial" w:hAnsi="Arial" w:cs="Arial"/>
        </w:rPr>
        <w:t>As well as understanding and acting on the disparities in general between what happens for these groups versus the wider population, we are also developing monitoring against five (more recently six) health themes:</w:t>
      </w:r>
    </w:p>
    <w:p w14:paraId="18EBC881" w14:textId="77777777" w:rsidR="0073089F" w:rsidRPr="006E642F" w:rsidRDefault="0073089F" w:rsidP="006E642F">
      <w:pPr>
        <w:pStyle w:val="NoSpacing"/>
        <w:numPr>
          <w:ilvl w:val="1"/>
          <w:numId w:val="44"/>
        </w:numPr>
        <w:jc w:val="both"/>
        <w:rPr>
          <w:rFonts w:ascii="Arial" w:hAnsi="Arial" w:cs="Arial"/>
        </w:rPr>
      </w:pPr>
      <w:r w:rsidRPr="006E642F">
        <w:rPr>
          <w:rFonts w:ascii="Arial" w:hAnsi="Arial" w:cs="Arial"/>
        </w:rPr>
        <w:t>maternity – continuity of carer</w:t>
      </w:r>
    </w:p>
    <w:p w14:paraId="2877B2E3" w14:textId="77777777" w:rsidR="0073089F" w:rsidRPr="006E642F" w:rsidRDefault="0073089F" w:rsidP="006E642F">
      <w:pPr>
        <w:pStyle w:val="NoSpacing"/>
        <w:numPr>
          <w:ilvl w:val="1"/>
          <w:numId w:val="44"/>
        </w:numPr>
        <w:jc w:val="both"/>
        <w:rPr>
          <w:rFonts w:ascii="Arial" w:hAnsi="Arial" w:cs="Arial"/>
        </w:rPr>
      </w:pPr>
      <w:r w:rsidRPr="006E642F">
        <w:rPr>
          <w:rFonts w:ascii="Arial" w:hAnsi="Arial" w:cs="Arial"/>
        </w:rPr>
        <w:t>severe mental illness</w:t>
      </w:r>
    </w:p>
    <w:p w14:paraId="131686E2" w14:textId="77777777" w:rsidR="0073089F" w:rsidRPr="006E642F" w:rsidRDefault="0073089F" w:rsidP="006E642F">
      <w:pPr>
        <w:pStyle w:val="NoSpacing"/>
        <w:numPr>
          <w:ilvl w:val="1"/>
          <w:numId w:val="44"/>
        </w:numPr>
        <w:jc w:val="both"/>
        <w:rPr>
          <w:rFonts w:ascii="Arial" w:hAnsi="Arial" w:cs="Arial"/>
        </w:rPr>
      </w:pPr>
      <w:r w:rsidRPr="006E642F">
        <w:rPr>
          <w:rFonts w:ascii="Arial" w:hAnsi="Arial" w:cs="Arial"/>
        </w:rPr>
        <w:t>chronic respiratory disease</w:t>
      </w:r>
    </w:p>
    <w:p w14:paraId="56219A04" w14:textId="77777777" w:rsidR="0073089F" w:rsidRPr="006E642F" w:rsidRDefault="0073089F" w:rsidP="006E642F">
      <w:pPr>
        <w:pStyle w:val="NoSpacing"/>
        <w:numPr>
          <w:ilvl w:val="1"/>
          <w:numId w:val="44"/>
        </w:numPr>
        <w:jc w:val="both"/>
        <w:rPr>
          <w:rFonts w:ascii="Arial" w:hAnsi="Arial" w:cs="Arial"/>
        </w:rPr>
      </w:pPr>
      <w:r w:rsidRPr="006E642F">
        <w:rPr>
          <w:rFonts w:ascii="Arial" w:hAnsi="Arial" w:cs="Arial"/>
        </w:rPr>
        <w:t>early cancer diagnosis</w:t>
      </w:r>
    </w:p>
    <w:p w14:paraId="7E1F4C31" w14:textId="4A5E8780" w:rsidR="0073089F" w:rsidRPr="006E642F" w:rsidRDefault="0073089F" w:rsidP="006E642F">
      <w:pPr>
        <w:pStyle w:val="NoSpacing"/>
        <w:numPr>
          <w:ilvl w:val="1"/>
          <w:numId w:val="44"/>
        </w:numPr>
        <w:jc w:val="both"/>
        <w:rPr>
          <w:rFonts w:ascii="Arial" w:hAnsi="Arial" w:cs="Arial"/>
        </w:rPr>
      </w:pPr>
      <w:r w:rsidRPr="006E642F">
        <w:rPr>
          <w:rFonts w:ascii="Arial" w:hAnsi="Arial" w:cs="Arial"/>
        </w:rPr>
        <w:t>hypertension</w:t>
      </w:r>
    </w:p>
    <w:p w14:paraId="11BAE146" w14:textId="77777777" w:rsidR="0073089F" w:rsidRPr="006E642F" w:rsidRDefault="0073089F" w:rsidP="006E642F">
      <w:pPr>
        <w:pStyle w:val="NoSpacing"/>
        <w:numPr>
          <w:ilvl w:val="1"/>
          <w:numId w:val="44"/>
        </w:numPr>
        <w:jc w:val="both"/>
        <w:rPr>
          <w:rFonts w:ascii="Arial" w:hAnsi="Arial" w:cs="Arial"/>
        </w:rPr>
      </w:pPr>
      <w:r w:rsidRPr="006E642F">
        <w:rPr>
          <w:rFonts w:ascii="Arial" w:hAnsi="Arial" w:cs="Arial"/>
        </w:rPr>
        <w:t>Across all of these, smoking rates and access to support to stop smoking</w:t>
      </w:r>
    </w:p>
    <w:p w14:paraId="4960FC71" w14:textId="77777777" w:rsidR="0073089F" w:rsidRPr="006E642F" w:rsidRDefault="0073089F" w:rsidP="006E642F">
      <w:pPr>
        <w:pStyle w:val="NoSpacing"/>
        <w:jc w:val="both"/>
        <w:rPr>
          <w:rFonts w:ascii="Arial" w:hAnsi="Arial" w:cs="Arial"/>
        </w:rPr>
      </w:pPr>
    </w:p>
    <w:p w14:paraId="564FACAE" w14:textId="77777777" w:rsidR="006E642F" w:rsidRDefault="006E642F" w:rsidP="006E642F">
      <w:pPr>
        <w:pStyle w:val="NoSpacing"/>
        <w:jc w:val="both"/>
        <w:rPr>
          <w:rFonts w:ascii="Arial" w:hAnsi="Arial" w:cs="Arial"/>
        </w:rPr>
      </w:pPr>
    </w:p>
    <w:p w14:paraId="28C155DE" w14:textId="108841C4" w:rsidR="0073089F" w:rsidRPr="006E642F" w:rsidRDefault="0073089F" w:rsidP="006E642F">
      <w:pPr>
        <w:pStyle w:val="NoSpacing"/>
        <w:jc w:val="both"/>
        <w:rPr>
          <w:rFonts w:ascii="Arial" w:hAnsi="Arial" w:cs="Arial"/>
        </w:rPr>
      </w:pPr>
      <w:r w:rsidRPr="006E642F">
        <w:rPr>
          <w:rFonts w:ascii="Arial" w:hAnsi="Arial" w:cs="Arial"/>
        </w:rPr>
        <w:t xml:space="preserve">The second category is different but equally important because tackling the underlying causes of inequality and inequalities of health outcomes requires us to work in sustained, meaningful, </w:t>
      </w:r>
      <w:proofErr w:type="gramStart"/>
      <w:r w:rsidRPr="006E642F">
        <w:rPr>
          <w:rFonts w:ascii="Arial" w:hAnsi="Arial" w:cs="Arial"/>
        </w:rPr>
        <w:t>respectful</w:t>
      </w:r>
      <w:proofErr w:type="gramEnd"/>
      <w:r w:rsidRPr="006E642F">
        <w:rPr>
          <w:rFonts w:ascii="Arial" w:hAnsi="Arial" w:cs="Arial"/>
        </w:rPr>
        <w:t xml:space="preserve"> and equal partnership with the</w:t>
      </w:r>
      <w:r w:rsidR="00921791" w:rsidRPr="006E642F">
        <w:rPr>
          <w:rFonts w:ascii="Arial" w:hAnsi="Arial" w:cs="Arial"/>
        </w:rPr>
        <w:t xml:space="preserve"> </w:t>
      </w:r>
      <w:r w:rsidRPr="006E642F">
        <w:rPr>
          <w:rFonts w:ascii="Arial" w:hAnsi="Arial" w:cs="Arial"/>
        </w:rPr>
        <w:t>communities and individuals affected.</w:t>
      </w:r>
    </w:p>
    <w:p w14:paraId="1C07DED2" w14:textId="77777777" w:rsidR="0073089F" w:rsidRPr="006E642F" w:rsidRDefault="0073089F" w:rsidP="006E642F">
      <w:pPr>
        <w:pStyle w:val="NoSpacing"/>
        <w:jc w:val="both"/>
        <w:rPr>
          <w:rFonts w:ascii="Arial" w:hAnsi="Arial" w:cs="Arial"/>
        </w:rPr>
      </w:pPr>
    </w:p>
    <w:p w14:paraId="74FBE877" w14:textId="18CD791B" w:rsidR="0073089F" w:rsidRPr="006E642F" w:rsidRDefault="0073089F" w:rsidP="006E642F">
      <w:pPr>
        <w:pStyle w:val="NoSpacing"/>
        <w:jc w:val="both"/>
        <w:rPr>
          <w:rFonts w:ascii="Arial" w:hAnsi="Arial" w:cs="Arial"/>
        </w:rPr>
      </w:pPr>
      <w:r w:rsidRPr="006E642F">
        <w:rPr>
          <w:rFonts w:ascii="Arial" w:hAnsi="Arial" w:cs="Arial"/>
        </w:rPr>
        <w:t xml:space="preserve">We understand that real change will happen “at the speed of trust”, and any measures we use need to be grounded in what meaningful change looks like from the point of view of </w:t>
      </w:r>
      <w:r w:rsidR="00921791" w:rsidRPr="006E642F">
        <w:rPr>
          <w:rFonts w:ascii="Arial" w:hAnsi="Arial" w:cs="Arial"/>
        </w:rPr>
        <w:t>people and communities</w:t>
      </w:r>
      <w:r w:rsidRPr="006E642F">
        <w:rPr>
          <w:rFonts w:ascii="Arial" w:hAnsi="Arial" w:cs="Arial"/>
        </w:rPr>
        <w:t xml:space="preserve">.  </w:t>
      </w:r>
      <w:r w:rsidR="00954CE5" w:rsidRPr="006E642F">
        <w:rPr>
          <w:rFonts w:ascii="Arial" w:hAnsi="Arial" w:cs="Arial"/>
        </w:rPr>
        <w:t xml:space="preserve">Our quantitative metrics rarely tell this story and – at worst – can mask very real disparities in experience and outcome.  </w:t>
      </w:r>
    </w:p>
    <w:p w14:paraId="7F1216B0" w14:textId="77777777" w:rsidR="0073089F" w:rsidRPr="006E642F" w:rsidRDefault="0073089F" w:rsidP="006E642F">
      <w:pPr>
        <w:pStyle w:val="NoSpacing"/>
        <w:jc w:val="both"/>
        <w:rPr>
          <w:rFonts w:ascii="Arial" w:hAnsi="Arial" w:cs="Arial"/>
        </w:rPr>
      </w:pPr>
    </w:p>
    <w:p w14:paraId="73FD48B5" w14:textId="77B7AE3E" w:rsidR="0073089F" w:rsidRPr="006E642F" w:rsidRDefault="0073089F" w:rsidP="006E642F">
      <w:pPr>
        <w:pStyle w:val="NoSpacing"/>
        <w:jc w:val="both"/>
        <w:rPr>
          <w:rFonts w:ascii="Arial" w:hAnsi="Arial" w:cs="Arial"/>
        </w:rPr>
      </w:pPr>
      <w:r w:rsidRPr="006E642F">
        <w:rPr>
          <w:rFonts w:ascii="Arial" w:hAnsi="Arial" w:cs="Arial"/>
        </w:rPr>
        <w:t>Some examples of the work we are doing to ensure we are making progress in this dimension, and that the ICB is assured of this, are:</w:t>
      </w:r>
    </w:p>
    <w:p w14:paraId="56DB41D0" w14:textId="77777777" w:rsidR="0073089F" w:rsidRPr="006E642F" w:rsidRDefault="0073089F" w:rsidP="006E642F">
      <w:pPr>
        <w:pStyle w:val="NoSpacing"/>
        <w:jc w:val="both"/>
        <w:rPr>
          <w:rFonts w:ascii="Arial" w:hAnsi="Arial" w:cs="Arial"/>
        </w:rPr>
      </w:pPr>
    </w:p>
    <w:p w14:paraId="34789E5B" w14:textId="15B43C49" w:rsidR="0073089F" w:rsidRPr="006E642F" w:rsidRDefault="0073089F" w:rsidP="006E642F">
      <w:pPr>
        <w:pStyle w:val="NoSpacing"/>
        <w:numPr>
          <w:ilvl w:val="0"/>
          <w:numId w:val="45"/>
        </w:numPr>
        <w:jc w:val="both"/>
        <w:rPr>
          <w:rFonts w:ascii="Arial" w:hAnsi="Arial" w:cs="Arial"/>
        </w:rPr>
      </w:pPr>
      <w:r w:rsidRPr="006E642F">
        <w:rPr>
          <w:rFonts w:ascii="Arial" w:hAnsi="Arial" w:cs="Arial"/>
        </w:rPr>
        <w:t xml:space="preserve">Development of the Integrated Care Partnership Board, who will be responsible for setting strategic priorities for the Board and associated expectations on impact monitoring which we would expect to encompass the existing countywide health and wellbeing priorities as well as other dimensions to be </w:t>
      </w:r>
      <w:proofErr w:type="gramStart"/>
      <w:r w:rsidRPr="006E642F">
        <w:rPr>
          <w:rFonts w:ascii="Arial" w:hAnsi="Arial" w:cs="Arial"/>
        </w:rPr>
        <w:t>agreed;</w:t>
      </w:r>
      <w:proofErr w:type="gramEnd"/>
    </w:p>
    <w:p w14:paraId="3E7977F0" w14:textId="57EB4F94" w:rsidR="00921791" w:rsidRPr="006E642F" w:rsidRDefault="00921791" w:rsidP="006E642F">
      <w:pPr>
        <w:pStyle w:val="NoSpacing"/>
        <w:numPr>
          <w:ilvl w:val="0"/>
          <w:numId w:val="45"/>
        </w:numPr>
        <w:jc w:val="both"/>
        <w:rPr>
          <w:rFonts w:ascii="Arial" w:hAnsi="Arial" w:cs="Arial"/>
        </w:rPr>
      </w:pPr>
      <w:r w:rsidRPr="006E642F">
        <w:rPr>
          <w:rFonts w:ascii="Arial" w:hAnsi="Arial" w:cs="Arial"/>
        </w:rPr>
        <w:t xml:space="preserve">Development of our </w:t>
      </w:r>
      <w:hyperlink r:id="rId8" w:history="1">
        <w:r w:rsidRPr="006E642F">
          <w:rPr>
            <w:rStyle w:val="Hyperlink"/>
            <w:rFonts w:ascii="Arial" w:hAnsi="Arial" w:cs="Arial"/>
            <w:color w:val="4472C4" w:themeColor="accent5"/>
          </w:rPr>
          <w:t>Working with People and Communities Strategy</w:t>
        </w:r>
      </w:hyperlink>
      <w:r w:rsidRPr="006E642F">
        <w:rPr>
          <w:rFonts w:ascii="Arial" w:hAnsi="Arial" w:cs="Arial"/>
        </w:rPr>
        <w:t>, which sets out how we will collaborate to tackle inequalities.  This includes the commitment</w:t>
      </w:r>
      <w:r w:rsidR="00B534E0" w:rsidRPr="006E642F">
        <w:rPr>
          <w:rFonts w:ascii="Arial" w:hAnsi="Arial" w:cs="Arial"/>
        </w:rPr>
        <w:t>s</w:t>
      </w:r>
      <w:r w:rsidRPr="006E642F">
        <w:rPr>
          <w:rFonts w:ascii="Arial" w:hAnsi="Arial" w:cs="Arial"/>
        </w:rPr>
        <w:t xml:space="preserve"> below, for which we will expect to be held accountable: </w:t>
      </w:r>
    </w:p>
    <w:p w14:paraId="57B555FF" w14:textId="77777777" w:rsidR="00921791" w:rsidRPr="006E642F" w:rsidRDefault="00921791" w:rsidP="006E642F">
      <w:pPr>
        <w:pStyle w:val="NoSpacing"/>
        <w:numPr>
          <w:ilvl w:val="1"/>
          <w:numId w:val="45"/>
        </w:numPr>
        <w:jc w:val="both"/>
        <w:rPr>
          <w:rFonts w:ascii="Arial" w:hAnsi="Arial" w:cs="Arial"/>
        </w:rPr>
      </w:pPr>
      <w:r w:rsidRPr="006E642F">
        <w:rPr>
          <w:rFonts w:ascii="Arial" w:hAnsi="Arial" w:cs="Arial"/>
        </w:rPr>
        <w:t xml:space="preserve">Support Core20PLUS5 priorities, ensuring insight informs action </w:t>
      </w:r>
    </w:p>
    <w:p w14:paraId="44C25CAE" w14:textId="77777777" w:rsidR="00921791" w:rsidRPr="006E642F" w:rsidRDefault="00921791" w:rsidP="006E642F">
      <w:pPr>
        <w:pStyle w:val="NoSpacing"/>
        <w:numPr>
          <w:ilvl w:val="1"/>
          <w:numId w:val="45"/>
        </w:numPr>
        <w:jc w:val="both"/>
        <w:rPr>
          <w:rFonts w:ascii="Arial" w:hAnsi="Arial" w:cs="Arial"/>
        </w:rPr>
      </w:pPr>
      <w:r w:rsidRPr="006E642F">
        <w:rPr>
          <w:rFonts w:ascii="Arial" w:hAnsi="Arial" w:cs="Arial"/>
        </w:rPr>
        <w:t>Work with Integrated Locality Partnerships to develop bespoke involvement to support projects to tackle health inequalities</w:t>
      </w:r>
    </w:p>
    <w:p w14:paraId="2A2E828B" w14:textId="77777777" w:rsidR="00921791" w:rsidRPr="006E642F" w:rsidRDefault="00921791" w:rsidP="006E642F">
      <w:pPr>
        <w:pStyle w:val="NoSpacing"/>
        <w:numPr>
          <w:ilvl w:val="1"/>
          <w:numId w:val="45"/>
        </w:numPr>
        <w:jc w:val="both"/>
        <w:rPr>
          <w:rFonts w:ascii="Arial" w:hAnsi="Arial" w:cs="Arial"/>
        </w:rPr>
      </w:pPr>
      <w:r w:rsidRPr="006E642F">
        <w:rPr>
          <w:rFonts w:ascii="Arial" w:hAnsi="Arial" w:cs="Arial"/>
        </w:rPr>
        <w:t>Work towards ‘continuous engagement’ to build relationships of trust</w:t>
      </w:r>
    </w:p>
    <w:p w14:paraId="1E7890A9" w14:textId="34A49D2C" w:rsidR="00921791" w:rsidRPr="006E642F" w:rsidRDefault="00921791" w:rsidP="006E642F">
      <w:pPr>
        <w:pStyle w:val="NoSpacing"/>
        <w:numPr>
          <w:ilvl w:val="1"/>
          <w:numId w:val="45"/>
        </w:numPr>
        <w:jc w:val="both"/>
        <w:rPr>
          <w:rFonts w:ascii="Arial" w:hAnsi="Arial" w:cs="Arial"/>
        </w:rPr>
      </w:pPr>
      <w:r w:rsidRPr="006E642F">
        <w:rPr>
          <w:rFonts w:ascii="Arial" w:hAnsi="Arial" w:cs="Arial"/>
        </w:rPr>
        <w:t>Accept that, with good intent, we will sometimes fail when we work with communities; we will be open and transparent when this happens, discuss together how we can address issues. We will avoid blame.</w:t>
      </w:r>
    </w:p>
    <w:p w14:paraId="125FE214" w14:textId="77777777" w:rsidR="0073089F" w:rsidRPr="006E642F" w:rsidRDefault="0073089F" w:rsidP="006E642F">
      <w:pPr>
        <w:pStyle w:val="NoSpacing"/>
        <w:numPr>
          <w:ilvl w:val="0"/>
          <w:numId w:val="45"/>
        </w:numPr>
        <w:jc w:val="both"/>
        <w:rPr>
          <w:rFonts w:ascii="Arial" w:hAnsi="Arial" w:cs="Arial"/>
        </w:rPr>
      </w:pPr>
      <w:r w:rsidRPr="006E642F">
        <w:rPr>
          <w:rFonts w:ascii="Arial" w:hAnsi="Arial" w:cs="Arial"/>
        </w:rPr>
        <w:t xml:space="preserve">Continued delivery of the ICB Enabling Active Communities and Individuals Programme, focusing on building the partnerships to support strengths-based individual and community-centred action on prevention and health </w:t>
      </w:r>
      <w:proofErr w:type="gramStart"/>
      <w:r w:rsidRPr="006E642F">
        <w:rPr>
          <w:rFonts w:ascii="Arial" w:hAnsi="Arial" w:cs="Arial"/>
        </w:rPr>
        <w:t>inequalities;</w:t>
      </w:r>
      <w:proofErr w:type="gramEnd"/>
    </w:p>
    <w:p w14:paraId="0370C4A7" w14:textId="77777777" w:rsidR="0073089F" w:rsidRPr="006E642F" w:rsidRDefault="0073089F" w:rsidP="006E642F">
      <w:pPr>
        <w:pStyle w:val="NoSpacing"/>
        <w:numPr>
          <w:ilvl w:val="0"/>
          <w:numId w:val="45"/>
        </w:numPr>
        <w:jc w:val="both"/>
        <w:rPr>
          <w:rFonts w:ascii="Arial" w:hAnsi="Arial" w:cs="Arial"/>
        </w:rPr>
      </w:pPr>
      <w:r w:rsidRPr="006E642F">
        <w:rPr>
          <w:rFonts w:ascii="Arial" w:hAnsi="Arial" w:cs="Arial"/>
        </w:rPr>
        <w:t xml:space="preserve">Focus on place-based working through the Integrated Locality Partnerships and a population health management </w:t>
      </w:r>
      <w:proofErr w:type="gramStart"/>
      <w:r w:rsidRPr="006E642F">
        <w:rPr>
          <w:rFonts w:ascii="Arial" w:hAnsi="Arial" w:cs="Arial"/>
        </w:rPr>
        <w:t>approach;</w:t>
      </w:r>
      <w:proofErr w:type="gramEnd"/>
    </w:p>
    <w:p w14:paraId="1834F4AA" w14:textId="60DD91C9" w:rsidR="0073089F" w:rsidRPr="006E642F" w:rsidRDefault="0073089F" w:rsidP="006E642F">
      <w:pPr>
        <w:pStyle w:val="NoSpacing"/>
        <w:numPr>
          <w:ilvl w:val="0"/>
          <w:numId w:val="45"/>
        </w:numPr>
        <w:jc w:val="both"/>
        <w:rPr>
          <w:rFonts w:ascii="Arial" w:hAnsi="Arial" w:cs="Arial"/>
        </w:rPr>
      </w:pPr>
      <w:r w:rsidRPr="006E642F">
        <w:rPr>
          <w:rFonts w:ascii="Arial" w:hAnsi="Arial" w:cs="Arial"/>
        </w:rPr>
        <w:t xml:space="preserve">Development of a Memorandum of Understanding, and underpinning infrastructure and policy, which supports an equal partnership with the county’s VCSE sector.  This work leads naturally to better articulation of statutory partner duties as Anchor Institutions, for example in our workforce practices, asset-sharing and social value </w:t>
      </w:r>
      <w:proofErr w:type="gramStart"/>
      <w:r w:rsidRPr="006E642F">
        <w:rPr>
          <w:rFonts w:ascii="Arial" w:hAnsi="Arial" w:cs="Arial"/>
        </w:rPr>
        <w:t>polic</w:t>
      </w:r>
      <w:r w:rsidR="00921791" w:rsidRPr="006E642F">
        <w:rPr>
          <w:rFonts w:ascii="Arial" w:hAnsi="Arial" w:cs="Arial"/>
        </w:rPr>
        <w:t>ies</w:t>
      </w:r>
      <w:r w:rsidRPr="006E642F">
        <w:rPr>
          <w:rFonts w:ascii="Arial" w:hAnsi="Arial" w:cs="Arial"/>
        </w:rPr>
        <w:t>;</w:t>
      </w:r>
      <w:proofErr w:type="gramEnd"/>
    </w:p>
    <w:p w14:paraId="429AE7DD" w14:textId="77777777" w:rsidR="0073089F" w:rsidRPr="006E642F" w:rsidRDefault="0073089F" w:rsidP="006E642F">
      <w:pPr>
        <w:pStyle w:val="NoSpacing"/>
        <w:numPr>
          <w:ilvl w:val="0"/>
          <w:numId w:val="45"/>
        </w:numPr>
        <w:jc w:val="both"/>
        <w:rPr>
          <w:rFonts w:ascii="Arial" w:hAnsi="Arial" w:cs="Arial"/>
        </w:rPr>
      </w:pPr>
      <w:r w:rsidRPr="006E642F">
        <w:rPr>
          <w:rFonts w:ascii="Arial" w:hAnsi="Arial" w:cs="Arial"/>
        </w:rPr>
        <w:t xml:space="preserve">The Healthy Communities Together Programme, sponsored by the Kings Fund and funded by the National Lottery Community Development Fund, where we are building our understanding on how to define and capture – and be assured – that we are </w:t>
      </w:r>
      <w:r w:rsidRPr="006E642F">
        <w:rPr>
          <w:rFonts w:ascii="Arial" w:hAnsi="Arial" w:cs="Arial"/>
          <w:i/>
          <w:iCs/>
        </w:rPr>
        <w:t>building trust for fairer health</w:t>
      </w:r>
    </w:p>
    <w:p w14:paraId="64DB3156" w14:textId="77777777" w:rsidR="00404DC6" w:rsidRPr="006E642F" w:rsidRDefault="00404DC6" w:rsidP="006E642F">
      <w:pPr>
        <w:jc w:val="both"/>
        <w:rPr>
          <w:rFonts w:ascii="Arial" w:hAnsi="Arial" w:cs="Arial"/>
          <w:sz w:val="22"/>
          <w:szCs w:val="22"/>
        </w:rPr>
      </w:pPr>
    </w:p>
    <w:sectPr w:rsidR="00404DC6" w:rsidRPr="006E642F" w:rsidSect="0048141A">
      <w:headerReference w:type="default" r:id="rId9"/>
      <w:footerReference w:type="default" r:id="rId10"/>
      <w:pgSz w:w="11900" w:h="16840"/>
      <w:pgMar w:top="1440" w:right="1080" w:bottom="1440" w:left="1077" w:header="708" w:footer="708"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E1B4DE" w14:textId="77777777" w:rsidR="00403CC2" w:rsidRDefault="00403CC2">
      <w:r>
        <w:separator/>
      </w:r>
    </w:p>
  </w:endnote>
  <w:endnote w:type="continuationSeparator" w:id="0">
    <w:p w14:paraId="6943A905" w14:textId="77777777" w:rsidR="00403CC2" w:rsidRDefault="00403C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MinionPro-Regular">
    <w:altName w:val="Minion Pro"/>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Helvetica Neue">
    <w:altName w:val="Sylfaen"/>
    <w:charset w:val="00"/>
    <w:family w:val="auto"/>
    <w:pitch w:val="variable"/>
    <w:sig w:usb0="E50002FF" w:usb1="500079DB" w:usb2="0000001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Calibri"/>
    <w:charset w:val="00"/>
    <w:family w:val="auto"/>
    <w:pitch w:val="default"/>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3192079"/>
      <w:docPartObj>
        <w:docPartGallery w:val="Page Numbers (Bottom of Page)"/>
        <w:docPartUnique/>
      </w:docPartObj>
    </w:sdtPr>
    <w:sdtEndPr>
      <w:rPr>
        <w:noProof/>
      </w:rPr>
    </w:sdtEndPr>
    <w:sdtContent>
      <w:p w14:paraId="5F5E91C0" w14:textId="0D30D498" w:rsidR="00921791" w:rsidRDefault="0092179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629B477" w14:textId="7BD96E04" w:rsidR="0048141A" w:rsidRDefault="0048141A" w:rsidP="001C5EB2">
    <w:pPr>
      <w:pStyle w:val="PlainTex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E994D8" w14:textId="77777777" w:rsidR="00403CC2" w:rsidRDefault="00403CC2">
      <w:r>
        <w:separator/>
      </w:r>
    </w:p>
  </w:footnote>
  <w:footnote w:type="continuationSeparator" w:id="0">
    <w:p w14:paraId="76297AC7" w14:textId="77777777" w:rsidR="00403CC2" w:rsidRDefault="00403CC2">
      <w:r>
        <w:continuationSeparator/>
      </w:r>
    </w:p>
  </w:footnote>
  <w:footnote w:id="1">
    <w:p w14:paraId="0338BE78" w14:textId="1DAA06E1" w:rsidR="00862D26" w:rsidRPr="00AB6026" w:rsidRDefault="00862D26">
      <w:pPr>
        <w:pStyle w:val="FootnoteText"/>
        <w:rPr>
          <w:lang w:val="en-GB"/>
        </w:rPr>
      </w:pPr>
      <w:r>
        <w:rPr>
          <w:rStyle w:val="FootnoteReference"/>
        </w:rPr>
        <w:footnoteRef/>
      </w:r>
      <w:r>
        <w:t xml:space="preserve"> </w:t>
      </w:r>
      <w:r>
        <w:rPr>
          <w:lang w:val="en-GB"/>
        </w:rPr>
        <w:t xml:space="preserve">NHS Oversight Framework 2022/23: </w:t>
      </w:r>
      <w:r w:rsidRPr="00862D26">
        <w:rPr>
          <w:lang w:val="en-GB"/>
        </w:rPr>
        <w:t>https://www.england.nhs.uk/publication/nhs-oversight-framework-22-23/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FB1365" w14:textId="3C59FD5F" w:rsidR="0048141A" w:rsidRDefault="005C1D1E">
    <w:pPr>
      <w:pStyle w:val="Header"/>
    </w:pPr>
    <w:r>
      <w:rPr>
        <w:noProof/>
      </w:rPr>
      <w:drawing>
        <wp:anchor distT="0" distB="0" distL="114300" distR="114300" simplePos="0" relativeHeight="251666432" behindDoc="1" locked="0" layoutInCell="1" allowOverlap="1" wp14:anchorId="6359F6E2" wp14:editId="1A1F7805">
          <wp:simplePos x="0" y="0"/>
          <wp:positionH relativeFrom="column">
            <wp:posOffset>-683895</wp:posOffset>
          </wp:positionH>
          <wp:positionV relativeFrom="paragraph">
            <wp:posOffset>-438785</wp:posOffset>
          </wp:positionV>
          <wp:extent cx="7543800" cy="1394652"/>
          <wp:effectExtent l="0" t="0" r="0" b="254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7543800" cy="1394652"/>
                  </a:xfrm>
                  <a:prstGeom prst="rect">
                    <a:avLst/>
                  </a:prstGeom>
                </pic:spPr>
              </pic:pic>
            </a:graphicData>
          </a:graphic>
          <wp14:sizeRelH relativeFrom="page">
            <wp14:pctWidth>0</wp14:pctWidth>
          </wp14:sizeRelH>
          <wp14:sizeRelV relativeFrom="page">
            <wp14:pctHeight>0</wp14:pctHeight>
          </wp14:sizeRelV>
        </wp:anchor>
      </w:drawing>
    </w:r>
    <w:r w:rsidR="0075394F" w:rsidRPr="0075394F">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D7F07"/>
    <w:multiLevelType w:val="hybridMultilevel"/>
    <w:tmpl w:val="0CA6A52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0CC2DEA"/>
    <w:multiLevelType w:val="hybridMultilevel"/>
    <w:tmpl w:val="CAD25A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1A254A9"/>
    <w:multiLevelType w:val="hybridMultilevel"/>
    <w:tmpl w:val="F2AEB850"/>
    <w:lvl w:ilvl="0" w:tplc="0809000F">
      <w:start w:val="1"/>
      <w:numFmt w:val="decimal"/>
      <w:lvlText w:val="%1."/>
      <w:lvlJc w:val="left"/>
      <w:pPr>
        <w:ind w:left="360" w:hanging="360"/>
      </w:pPr>
      <w:rPr>
        <w:rFonts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B112A90"/>
    <w:multiLevelType w:val="hybridMultilevel"/>
    <w:tmpl w:val="256C23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051DD4"/>
    <w:multiLevelType w:val="hybridMultilevel"/>
    <w:tmpl w:val="EBDAB312"/>
    <w:styleLink w:val="ImportedStyle1"/>
    <w:lvl w:ilvl="0" w:tplc="5D4A667C">
      <w:start w:val="1"/>
      <w:numFmt w:val="bullet"/>
      <w:lvlText w:val="➢"/>
      <w:lvlJc w:val="left"/>
      <w:pPr>
        <w:ind w:left="360" w:hanging="360"/>
      </w:pPr>
      <w:rPr>
        <w:rFonts w:ascii="Arial Unicode MS" w:eastAsia="Arial Unicode MS" w:hAnsi="Arial Unicode MS" w:cs="MinionPro-Regular"/>
        <w:b w:val="0"/>
        <w:bCs w:val="0"/>
        <w:i w:val="0"/>
        <w:iCs w:val="0"/>
        <w:caps w:val="0"/>
        <w:smallCaps w:val="0"/>
        <w:strike w:val="0"/>
        <w:dstrike w:val="0"/>
        <w:color w:val="000000"/>
        <w:spacing w:val="0"/>
        <w:w w:val="100"/>
        <w:kern w:val="0"/>
        <w:position w:val="0"/>
        <w:highlight w:val="none"/>
        <w:vertAlign w:val="baseline"/>
      </w:rPr>
    </w:lvl>
    <w:lvl w:ilvl="1" w:tplc="FC40E2DA">
      <w:start w:val="1"/>
      <w:numFmt w:val="bullet"/>
      <w:lvlText w:val="o"/>
      <w:lvlJc w:val="left"/>
      <w:pPr>
        <w:ind w:left="1080" w:hanging="360"/>
      </w:pPr>
      <w:rPr>
        <w:rFonts w:ascii="Wingdings" w:eastAsia="Wingdings" w:hAnsi="Wingdings" w:cs="MinionPro-Regular"/>
        <w:b w:val="0"/>
        <w:bCs w:val="0"/>
        <w:i w:val="0"/>
        <w:iCs w:val="0"/>
        <w:caps w:val="0"/>
        <w:smallCaps w:val="0"/>
        <w:strike w:val="0"/>
        <w:dstrike w:val="0"/>
        <w:color w:val="000000"/>
        <w:spacing w:val="0"/>
        <w:w w:val="100"/>
        <w:kern w:val="0"/>
        <w:position w:val="0"/>
        <w:highlight w:val="none"/>
        <w:vertAlign w:val="baseline"/>
      </w:rPr>
    </w:lvl>
    <w:lvl w:ilvl="2" w:tplc="649AF288">
      <w:start w:val="1"/>
      <w:numFmt w:val="bullet"/>
      <w:lvlText w:val="▪"/>
      <w:lvlJc w:val="left"/>
      <w:pPr>
        <w:ind w:left="1800" w:hanging="360"/>
      </w:pPr>
      <w:rPr>
        <w:rFonts w:ascii="Arial Unicode MS" w:eastAsia="Arial Unicode MS" w:hAnsi="Arial Unicode MS" w:cs="MinionPro-Regular"/>
        <w:b w:val="0"/>
        <w:bCs w:val="0"/>
        <w:i w:val="0"/>
        <w:iCs w:val="0"/>
        <w:caps w:val="0"/>
        <w:smallCaps w:val="0"/>
        <w:strike w:val="0"/>
        <w:dstrike w:val="0"/>
        <w:color w:val="000000"/>
        <w:spacing w:val="0"/>
        <w:w w:val="100"/>
        <w:kern w:val="0"/>
        <w:position w:val="0"/>
        <w:highlight w:val="none"/>
        <w:vertAlign w:val="baseline"/>
      </w:rPr>
    </w:lvl>
    <w:lvl w:ilvl="3" w:tplc="F63E30FA">
      <w:start w:val="1"/>
      <w:numFmt w:val="bullet"/>
      <w:lvlText w:val="•"/>
      <w:lvlJc w:val="left"/>
      <w:pPr>
        <w:ind w:left="2520" w:hanging="360"/>
      </w:pPr>
      <w:rPr>
        <w:rFonts w:ascii="Arial Unicode MS" w:eastAsia="Arial Unicode MS" w:hAnsi="Arial Unicode MS" w:cs="MinionPro-Regular"/>
        <w:b w:val="0"/>
        <w:bCs w:val="0"/>
        <w:i w:val="0"/>
        <w:iCs w:val="0"/>
        <w:caps w:val="0"/>
        <w:smallCaps w:val="0"/>
        <w:strike w:val="0"/>
        <w:dstrike w:val="0"/>
        <w:color w:val="000000"/>
        <w:spacing w:val="0"/>
        <w:w w:val="100"/>
        <w:kern w:val="0"/>
        <w:position w:val="0"/>
        <w:highlight w:val="none"/>
        <w:vertAlign w:val="baseline"/>
      </w:rPr>
    </w:lvl>
    <w:lvl w:ilvl="4" w:tplc="482E634A">
      <w:start w:val="1"/>
      <w:numFmt w:val="bullet"/>
      <w:lvlText w:val="o"/>
      <w:lvlJc w:val="left"/>
      <w:pPr>
        <w:ind w:left="3240" w:hanging="360"/>
      </w:pPr>
      <w:rPr>
        <w:rFonts w:ascii="Wingdings" w:eastAsia="Wingdings" w:hAnsi="Wingdings" w:cs="MinionPro-Regular"/>
        <w:b w:val="0"/>
        <w:bCs w:val="0"/>
        <w:i w:val="0"/>
        <w:iCs w:val="0"/>
        <w:caps w:val="0"/>
        <w:smallCaps w:val="0"/>
        <w:strike w:val="0"/>
        <w:dstrike w:val="0"/>
        <w:color w:val="000000"/>
        <w:spacing w:val="0"/>
        <w:w w:val="100"/>
        <w:kern w:val="0"/>
        <w:position w:val="0"/>
        <w:highlight w:val="none"/>
        <w:vertAlign w:val="baseline"/>
      </w:rPr>
    </w:lvl>
    <w:lvl w:ilvl="5" w:tplc="943C68AA">
      <w:start w:val="1"/>
      <w:numFmt w:val="bullet"/>
      <w:lvlText w:val="▪"/>
      <w:lvlJc w:val="left"/>
      <w:pPr>
        <w:ind w:left="3960" w:hanging="360"/>
      </w:pPr>
      <w:rPr>
        <w:rFonts w:ascii="Arial Unicode MS" w:eastAsia="Arial Unicode MS" w:hAnsi="Arial Unicode MS" w:cs="MinionPro-Regular"/>
        <w:b w:val="0"/>
        <w:bCs w:val="0"/>
        <w:i w:val="0"/>
        <w:iCs w:val="0"/>
        <w:caps w:val="0"/>
        <w:smallCaps w:val="0"/>
        <w:strike w:val="0"/>
        <w:dstrike w:val="0"/>
        <w:color w:val="000000"/>
        <w:spacing w:val="0"/>
        <w:w w:val="100"/>
        <w:kern w:val="0"/>
        <w:position w:val="0"/>
        <w:highlight w:val="none"/>
        <w:vertAlign w:val="baseline"/>
      </w:rPr>
    </w:lvl>
    <w:lvl w:ilvl="6" w:tplc="E36C5360">
      <w:start w:val="1"/>
      <w:numFmt w:val="bullet"/>
      <w:lvlText w:val="•"/>
      <w:lvlJc w:val="left"/>
      <w:pPr>
        <w:ind w:left="4680" w:hanging="360"/>
      </w:pPr>
      <w:rPr>
        <w:rFonts w:ascii="Arial Unicode MS" w:eastAsia="Arial Unicode MS" w:hAnsi="Arial Unicode MS" w:cs="MinionPro-Regular"/>
        <w:b w:val="0"/>
        <w:bCs w:val="0"/>
        <w:i w:val="0"/>
        <w:iCs w:val="0"/>
        <w:caps w:val="0"/>
        <w:smallCaps w:val="0"/>
        <w:strike w:val="0"/>
        <w:dstrike w:val="0"/>
        <w:color w:val="000000"/>
        <w:spacing w:val="0"/>
        <w:w w:val="100"/>
        <w:kern w:val="0"/>
        <w:position w:val="0"/>
        <w:highlight w:val="none"/>
        <w:vertAlign w:val="baseline"/>
      </w:rPr>
    </w:lvl>
    <w:lvl w:ilvl="7" w:tplc="0770948C">
      <w:start w:val="1"/>
      <w:numFmt w:val="bullet"/>
      <w:lvlText w:val="o"/>
      <w:lvlJc w:val="left"/>
      <w:pPr>
        <w:ind w:left="5400" w:hanging="360"/>
      </w:pPr>
      <w:rPr>
        <w:rFonts w:ascii="Wingdings" w:eastAsia="Wingdings" w:hAnsi="Wingdings" w:cs="MinionPro-Regular"/>
        <w:b w:val="0"/>
        <w:bCs w:val="0"/>
        <w:i w:val="0"/>
        <w:iCs w:val="0"/>
        <w:caps w:val="0"/>
        <w:smallCaps w:val="0"/>
        <w:strike w:val="0"/>
        <w:dstrike w:val="0"/>
        <w:color w:val="000000"/>
        <w:spacing w:val="0"/>
        <w:w w:val="100"/>
        <w:kern w:val="0"/>
        <w:position w:val="0"/>
        <w:highlight w:val="none"/>
        <w:vertAlign w:val="baseline"/>
      </w:rPr>
    </w:lvl>
    <w:lvl w:ilvl="8" w:tplc="2A067906">
      <w:start w:val="1"/>
      <w:numFmt w:val="bullet"/>
      <w:lvlText w:val="▪"/>
      <w:lvlJc w:val="left"/>
      <w:pPr>
        <w:ind w:left="6120" w:hanging="360"/>
      </w:pPr>
      <w:rPr>
        <w:rFonts w:ascii="Arial Unicode MS" w:eastAsia="Arial Unicode MS" w:hAnsi="Arial Unicode MS" w:cs="MinionPro-Regular"/>
        <w:b w:val="0"/>
        <w:bCs w:val="0"/>
        <w:i w:val="0"/>
        <w:iCs w:val="0"/>
        <w:caps w:val="0"/>
        <w:smallCaps w:val="0"/>
        <w:strike w:val="0"/>
        <w:dstrike w:val="0"/>
        <w:color w:val="000000"/>
        <w:spacing w:val="0"/>
        <w:w w:val="100"/>
        <w:kern w:val="0"/>
        <w:position w:val="0"/>
        <w:highlight w:val="none"/>
        <w:vertAlign w:val="baseline"/>
      </w:rPr>
    </w:lvl>
  </w:abstractNum>
  <w:abstractNum w:abstractNumId="5" w15:restartNumberingAfterBreak="0">
    <w:nsid w:val="16021187"/>
    <w:multiLevelType w:val="hybridMultilevel"/>
    <w:tmpl w:val="3C40EF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63360A9"/>
    <w:multiLevelType w:val="hybridMultilevel"/>
    <w:tmpl w:val="FAF8C8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DF0FEA"/>
    <w:multiLevelType w:val="hybridMultilevel"/>
    <w:tmpl w:val="099C1E5A"/>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177A5A17"/>
    <w:multiLevelType w:val="hybridMultilevel"/>
    <w:tmpl w:val="D68EA358"/>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9" w15:restartNumberingAfterBreak="0">
    <w:nsid w:val="1D711F08"/>
    <w:multiLevelType w:val="hybridMultilevel"/>
    <w:tmpl w:val="41441E1C"/>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0" w15:restartNumberingAfterBreak="0">
    <w:nsid w:val="1ED33E45"/>
    <w:multiLevelType w:val="hybridMultilevel"/>
    <w:tmpl w:val="5338EF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F5C424B"/>
    <w:multiLevelType w:val="hybridMultilevel"/>
    <w:tmpl w:val="7FF093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48B2F6E"/>
    <w:multiLevelType w:val="hybridMultilevel"/>
    <w:tmpl w:val="3A3A30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75E7046"/>
    <w:multiLevelType w:val="hybridMultilevel"/>
    <w:tmpl w:val="3C1E9306"/>
    <w:numStyleLink w:val="ImportedStyle2"/>
  </w:abstractNum>
  <w:abstractNum w:abstractNumId="14" w15:restartNumberingAfterBreak="0">
    <w:nsid w:val="296B356B"/>
    <w:multiLevelType w:val="hybridMultilevel"/>
    <w:tmpl w:val="4FE206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B3B3306"/>
    <w:multiLevelType w:val="hybridMultilevel"/>
    <w:tmpl w:val="3C1E9306"/>
    <w:styleLink w:val="ImportedStyle2"/>
    <w:lvl w:ilvl="0" w:tplc="CDBC1A0E">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01DC987E">
      <w:start w:val="1"/>
      <w:numFmt w:val="bullet"/>
      <w:lvlText w:val="o"/>
      <w:lvlJc w:val="left"/>
      <w:pPr>
        <w:ind w:left="1440" w:hanging="360"/>
      </w:pPr>
      <w:rPr>
        <w:rFonts w:ascii="Arial Unicode MS" w:eastAsia="Arial Unicode MS" w:hAnsi="Arial Unicode MS" w:cs="MinionPro-Regular"/>
        <w:b w:val="0"/>
        <w:bCs w:val="0"/>
        <w:i w:val="0"/>
        <w:iCs w:val="0"/>
        <w:caps w:val="0"/>
        <w:smallCaps w:val="0"/>
        <w:strike w:val="0"/>
        <w:dstrike w:val="0"/>
        <w:color w:val="000000"/>
        <w:spacing w:val="0"/>
        <w:w w:val="100"/>
        <w:kern w:val="0"/>
        <w:position w:val="0"/>
        <w:highlight w:val="none"/>
        <w:vertAlign w:val="baseline"/>
      </w:rPr>
    </w:lvl>
    <w:lvl w:ilvl="2" w:tplc="8166B30E">
      <w:start w:val="1"/>
      <w:numFmt w:val="bullet"/>
      <w:lvlText w:val="▪"/>
      <w:lvlJc w:val="left"/>
      <w:pPr>
        <w:ind w:left="2160" w:hanging="360"/>
      </w:pPr>
      <w:rPr>
        <w:rFonts w:ascii="Arial Unicode MS" w:eastAsia="Arial Unicode MS" w:hAnsi="Arial Unicode MS" w:cs="MinionPro-Regular"/>
        <w:b w:val="0"/>
        <w:bCs w:val="0"/>
        <w:i w:val="0"/>
        <w:iCs w:val="0"/>
        <w:caps w:val="0"/>
        <w:smallCaps w:val="0"/>
        <w:strike w:val="0"/>
        <w:dstrike w:val="0"/>
        <w:color w:val="000000"/>
        <w:spacing w:val="0"/>
        <w:w w:val="100"/>
        <w:kern w:val="0"/>
        <w:position w:val="0"/>
        <w:highlight w:val="none"/>
        <w:vertAlign w:val="baseline"/>
      </w:rPr>
    </w:lvl>
    <w:lvl w:ilvl="3" w:tplc="C8C02390">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BA887E78">
      <w:start w:val="1"/>
      <w:numFmt w:val="bullet"/>
      <w:lvlText w:val="o"/>
      <w:lvlJc w:val="left"/>
      <w:pPr>
        <w:ind w:left="3600" w:hanging="360"/>
      </w:pPr>
      <w:rPr>
        <w:rFonts w:ascii="Arial Unicode MS" w:eastAsia="Arial Unicode MS" w:hAnsi="Arial Unicode MS" w:cs="MinionPro-Regular"/>
        <w:b w:val="0"/>
        <w:bCs w:val="0"/>
        <w:i w:val="0"/>
        <w:iCs w:val="0"/>
        <w:caps w:val="0"/>
        <w:smallCaps w:val="0"/>
        <w:strike w:val="0"/>
        <w:dstrike w:val="0"/>
        <w:color w:val="000000"/>
        <w:spacing w:val="0"/>
        <w:w w:val="100"/>
        <w:kern w:val="0"/>
        <w:position w:val="0"/>
        <w:highlight w:val="none"/>
        <w:vertAlign w:val="baseline"/>
      </w:rPr>
    </w:lvl>
    <w:lvl w:ilvl="5" w:tplc="2D626B46">
      <w:start w:val="1"/>
      <w:numFmt w:val="bullet"/>
      <w:lvlText w:val="▪"/>
      <w:lvlJc w:val="left"/>
      <w:pPr>
        <w:ind w:left="4320" w:hanging="360"/>
      </w:pPr>
      <w:rPr>
        <w:rFonts w:ascii="Arial Unicode MS" w:eastAsia="Arial Unicode MS" w:hAnsi="Arial Unicode MS" w:cs="MinionPro-Regular"/>
        <w:b w:val="0"/>
        <w:bCs w:val="0"/>
        <w:i w:val="0"/>
        <w:iCs w:val="0"/>
        <w:caps w:val="0"/>
        <w:smallCaps w:val="0"/>
        <w:strike w:val="0"/>
        <w:dstrike w:val="0"/>
        <w:color w:val="000000"/>
        <w:spacing w:val="0"/>
        <w:w w:val="100"/>
        <w:kern w:val="0"/>
        <w:position w:val="0"/>
        <w:highlight w:val="none"/>
        <w:vertAlign w:val="baseline"/>
      </w:rPr>
    </w:lvl>
    <w:lvl w:ilvl="6" w:tplc="E4A4F118">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E408878C">
      <w:start w:val="1"/>
      <w:numFmt w:val="bullet"/>
      <w:lvlText w:val="o"/>
      <w:lvlJc w:val="left"/>
      <w:pPr>
        <w:ind w:left="5760" w:hanging="360"/>
      </w:pPr>
      <w:rPr>
        <w:rFonts w:ascii="Arial Unicode MS" w:eastAsia="Arial Unicode MS" w:hAnsi="Arial Unicode MS" w:cs="MinionPro-Regular"/>
        <w:b w:val="0"/>
        <w:bCs w:val="0"/>
        <w:i w:val="0"/>
        <w:iCs w:val="0"/>
        <w:caps w:val="0"/>
        <w:smallCaps w:val="0"/>
        <w:strike w:val="0"/>
        <w:dstrike w:val="0"/>
        <w:color w:val="000000"/>
        <w:spacing w:val="0"/>
        <w:w w:val="100"/>
        <w:kern w:val="0"/>
        <w:position w:val="0"/>
        <w:highlight w:val="none"/>
        <w:vertAlign w:val="baseline"/>
      </w:rPr>
    </w:lvl>
    <w:lvl w:ilvl="8" w:tplc="98A0CC82">
      <w:start w:val="1"/>
      <w:numFmt w:val="bullet"/>
      <w:lvlText w:val="▪"/>
      <w:lvlJc w:val="left"/>
      <w:pPr>
        <w:ind w:left="6480" w:hanging="360"/>
      </w:pPr>
      <w:rPr>
        <w:rFonts w:ascii="Arial Unicode MS" w:eastAsia="Arial Unicode MS" w:hAnsi="Arial Unicode MS" w:cs="MinionPro-Regular"/>
        <w:b w:val="0"/>
        <w:bCs w:val="0"/>
        <w:i w:val="0"/>
        <w:iCs w:val="0"/>
        <w:caps w:val="0"/>
        <w:smallCaps w:val="0"/>
        <w:strike w:val="0"/>
        <w:dstrike w:val="0"/>
        <w:color w:val="000000"/>
        <w:spacing w:val="0"/>
        <w:w w:val="100"/>
        <w:kern w:val="0"/>
        <w:position w:val="0"/>
        <w:highlight w:val="none"/>
        <w:vertAlign w:val="baseline"/>
      </w:rPr>
    </w:lvl>
  </w:abstractNum>
  <w:abstractNum w:abstractNumId="16" w15:restartNumberingAfterBreak="0">
    <w:nsid w:val="2E53720D"/>
    <w:multiLevelType w:val="hybridMultilevel"/>
    <w:tmpl w:val="51CC74FA"/>
    <w:lvl w:ilvl="0" w:tplc="0809000B">
      <w:start w:val="1"/>
      <w:numFmt w:val="bullet"/>
      <w:lvlText w:val=""/>
      <w:lvlJc w:val="left"/>
      <w:pPr>
        <w:ind w:left="2160" w:hanging="360"/>
      </w:pPr>
      <w:rPr>
        <w:rFonts w:ascii="Wingdings" w:hAnsi="Wingdings"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7" w15:restartNumberingAfterBreak="0">
    <w:nsid w:val="2F964830"/>
    <w:multiLevelType w:val="hybridMultilevel"/>
    <w:tmpl w:val="538818DC"/>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303B0C7C"/>
    <w:multiLevelType w:val="hybridMultilevel"/>
    <w:tmpl w:val="532E68E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30E45EFC"/>
    <w:multiLevelType w:val="hybridMultilevel"/>
    <w:tmpl w:val="5952113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31AD77C0"/>
    <w:multiLevelType w:val="hybridMultilevel"/>
    <w:tmpl w:val="880A8EBE"/>
    <w:lvl w:ilvl="0" w:tplc="BD981560">
      <w:start w:val="1"/>
      <w:numFmt w:val="decimal"/>
      <w:lvlText w:val="%1."/>
      <w:lvlJc w:val="left"/>
      <w:pPr>
        <w:ind w:left="144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6F9325D"/>
    <w:multiLevelType w:val="hybridMultilevel"/>
    <w:tmpl w:val="CBC4CE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C420098"/>
    <w:multiLevelType w:val="hybridMultilevel"/>
    <w:tmpl w:val="017C5B66"/>
    <w:lvl w:ilvl="0" w:tplc="08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809000B">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D4C5E6C"/>
    <w:multiLevelType w:val="hybridMultilevel"/>
    <w:tmpl w:val="EBDAB312"/>
    <w:numStyleLink w:val="ImportedStyle1"/>
  </w:abstractNum>
  <w:abstractNum w:abstractNumId="24" w15:restartNumberingAfterBreak="0">
    <w:nsid w:val="4036095D"/>
    <w:multiLevelType w:val="hybridMultilevel"/>
    <w:tmpl w:val="A22AA53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314099D"/>
    <w:multiLevelType w:val="hybridMultilevel"/>
    <w:tmpl w:val="0B704DD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43490E9D"/>
    <w:multiLevelType w:val="hybridMultilevel"/>
    <w:tmpl w:val="76003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66716D7"/>
    <w:multiLevelType w:val="hybridMultilevel"/>
    <w:tmpl w:val="FB744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8BF005F"/>
    <w:multiLevelType w:val="hybridMultilevel"/>
    <w:tmpl w:val="A9F6E6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8724F8A"/>
    <w:multiLevelType w:val="hybridMultilevel"/>
    <w:tmpl w:val="5644C1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95E409E"/>
    <w:multiLevelType w:val="hybridMultilevel"/>
    <w:tmpl w:val="FB3E2A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DCE714C"/>
    <w:multiLevelType w:val="hybridMultilevel"/>
    <w:tmpl w:val="70E46A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EF52BD1"/>
    <w:multiLevelType w:val="hybridMultilevel"/>
    <w:tmpl w:val="571645A6"/>
    <w:lvl w:ilvl="0" w:tplc="08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8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2046CC8"/>
    <w:multiLevelType w:val="hybridMultilevel"/>
    <w:tmpl w:val="29CCE1C4"/>
    <w:lvl w:ilvl="0" w:tplc="08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647523A3"/>
    <w:multiLevelType w:val="hybridMultilevel"/>
    <w:tmpl w:val="DF7C17FA"/>
    <w:lvl w:ilvl="0" w:tplc="08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49E4795"/>
    <w:multiLevelType w:val="hybridMultilevel"/>
    <w:tmpl w:val="ADBC7916"/>
    <w:lvl w:ilvl="0" w:tplc="68089A16">
      <w:start w:val="2"/>
      <w:numFmt w:val="decimal"/>
      <w:lvlText w:val="%1."/>
      <w:lvlJc w:val="left"/>
      <w:pPr>
        <w:ind w:left="720" w:hanging="360"/>
      </w:pPr>
      <w:rPr>
        <w:rFonts w:asciiTheme="majorHAnsi" w:eastAsiaTheme="majorEastAsia" w:hAnsiTheme="majorHAnsi" w:cstheme="majorBidi" w:hint="default"/>
        <w:color w:val="2E74B5" w:themeColor="accent1" w:themeShade="BF"/>
        <w:sz w:val="3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50951E6"/>
    <w:multiLevelType w:val="hybridMultilevel"/>
    <w:tmpl w:val="DCEE3C9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CE01229"/>
    <w:multiLevelType w:val="hybridMultilevel"/>
    <w:tmpl w:val="1A4429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6D9778FD"/>
    <w:multiLevelType w:val="hybridMultilevel"/>
    <w:tmpl w:val="A79E0B4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9" w15:restartNumberingAfterBreak="0">
    <w:nsid w:val="6EE933F6"/>
    <w:multiLevelType w:val="hybridMultilevel"/>
    <w:tmpl w:val="807EE1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6975CDF"/>
    <w:multiLevelType w:val="hybridMultilevel"/>
    <w:tmpl w:val="1C4E4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8FD607C"/>
    <w:multiLevelType w:val="hybridMultilevel"/>
    <w:tmpl w:val="32545060"/>
    <w:lvl w:ilvl="0" w:tplc="04090001">
      <w:start w:val="1"/>
      <w:numFmt w:val="bullet"/>
      <w:lvlText w:val=""/>
      <w:lvlJc w:val="left"/>
      <w:pPr>
        <w:ind w:left="720" w:hanging="360"/>
      </w:pPr>
      <w:rPr>
        <w:rFonts w:ascii="Symbol" w:hAnsi="Symbol" w:hint="default"/>
        <w:sz w:val="28"/>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9BE4E52"/>
    <w:multiLevelType w:val="hybridMultilevel"/>
    <w:tmpl w:val="D20A81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AFA1B57"/>
    <w:multiLevelType w:val="hybridMultilevel"/>
    <w:tmpl w:val="0938FF20"/>
    <w:lvl w:ilvl="0" w:tplc="0809000F">
      <w:start w:val="1"/>
      <w:numFmt w:val="decimal"/>
      <w:lvlText w:val="%1."/>
      <w:lvlJc w:val="left"/>
      <w:pPr>
        <w:ind w:left="360" w:hanging="360"/>
      </w:pPr>
      <w:rPr>
        <w:rFont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7D72654F"/>
    <w:multiLevelType w:val="hybridMultilevel"/>
    <w:tmpl w:val="BA80479E"/>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4"/>
  </w:num>
  <w:num w:numId="2">
    <w:abstractNumId w:val="23"/>
  </w:num>
  <w:num w:numId="3">
    <w:abstractNumId w:val="15"/>
  </w:num>
  <w:num w:numId="4">
    <w:abstractNumId w:val="13"/>
  </w:num>
  <w:num w:numId="5">
    <w:abstractNumId w:val="31"/>
  </w:num>
  <w:num w:numId="6">
    <w:abstractNumId w:val="29"/>
  </w:num>
  <w:num w:numId="7">
    <w:abstractNumId w:val="34"/>
  </w:num>
  <w:num w:numId="8">
    <w:abstractNumId w:val="3"/>
  </w:num>
  <w:num w:numId="9">
    <w:abstractNumId w:val="12"/>
  </w:num>
  <w:num w:numId="10">
    <w:abstractNumId w:val="33"/>
  </w:num>
  <w:num w:numId="11">
    <w:abstractNumId w:val="14"/>
  </w:num>
  <w:num w:numId="12">
    <w:abstractNumId w:val="1"/>
  </w:num>
  <w:num w:numId="13">
    <w:abstractNumId w:val="28"/>
  </w:num>
  <w:num w:numId="14">
    <w:abstractNumId w:val="35"/>
  </w:num>
  <w:num w:numId="15">
    <w:abstractNumId w:val="36"/>
  </w:num>
  <w:num w:numId="16">
    <w:abstractNumId w:val="9"/>
  </w:num>
  <w:num w:numId="17">
    <w:abstractNumId w:val="32"/>
  </w:num>
  <w:num w:numId="18">
    <w:abstractNumId w:val="22"/>
  </w:num>
  <w:num w:numId="19">
    <w:abstractNumId w:val="16"/>
  </w:num>
  <w:num w:numId="20">
    <w:abstractNumId w:val="5"/>
  </w:num>
  <w:num w:numId="21">
    <w:abstractNumId w:val="30"/>
  </w:num>
  <w:num w:numId="22">
    <w:abstractNumId w:val="40"/>
  </w:num>
  <w:num w:numId="23">
    <w:abstractNumId w:val="20"/>
  </w:num>
  <w:num w:numId="24">
    <w:abstractNumId w:val="42"/>
  </w:num>
  <w:num w:numId="25">
    <w:abstractNumId w:val="8"/>
  </w:num>
  <w:num w:numId="26">
    <w:abstractNumId w:val="24"/>
  </w:num>
  <w:num w:numId="27">
    <w:abstractNumId w:val="18"/>
  </w:num>
  <w:num w:numId="28">
    <w:abstractNumId w:val="44"/>
  </w:num>
  <w:num w:numId="29">
    <w:abstractNumId w:val="17"/>
  </w:num>
  <w:num w:numId="30">
    <w:abstractNumId w:val="19"/>
  </w:num>
  <w:num w:numId="31">
    <w:abstractNumId w:val="7"/>
  </w:num>
  <w:num w:numId="32">
    <w:abstractNumId w:val="38"/>
  </w:num>
  <w:num w:numId="33">
    <w:abstractNumId w:val="25"/>
  </w:num>
  <w:num w:numId="34">
    <w:abstractNumId w:val="0"/>
  </w:num>
  <w:num w:numId="35">
    <w:abstractNumId w:val="41"/>
  </w:num>
  <w:num w:numId="36">
    <w:abstractNumId w:val="27"/>
  </w:num>
  <w:num w:numId="37">
    <w:abstractNumId w:val="26"/>
  </w:num>
  <w:num w:numId="38">
    <w:abstractNumId w:val="11"/>
  </w:num>
  <w:num w:numId="39">
    <w:abstractNumId w:val="10"/>
  </w:num>
  <w:num w:numId="40">
    <w:abstractNumId w:val="21"/>
  </w:num>
  <w:num w:numId="41">
    <w:abstractNumId w:val="6"/>
  </w:num>
  <w:num w:numId="42">
    <w:abstractNumId w:val="37"/>
  </w:num>
  <w:num w:numId="43">
    <w:abstractNumId w:val="39"/>
  </w:num>
  <w:num w:numId="44">
    <w:abstractNumId w:val="43"/>
  </w:num>
  <w:num w:numId="4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2DB3"/>
    <w:rsid w:val="0000681F"/>
    <w:rsid w:val="0001643F"/>
    <w:rsid w:val="00034AF6"/>
    <w:rsid w:val="00054E58"/>
    <w:rsid w:val="00061912"/>
    <w:rsid w:val="00072E9E"/>
    <w:rsid w:val="000A7E7E"/>
    <w:rsid w:val="000C5D52"/>
    <w:rsid w:val="000F22AE"/>
    <w:rsid w:val="000F22B8"/>
    <w:rsid w:val="000F3768"/>
    <w:rsid w:val="00101D8B"/>
    <w:rsid w:val="0011357F"/>
    <w:rsid w:val="00124B8D"/>
    <w:rsid w:val="001445CA"/>
    <w:rsid w:val="0015241D"/>
    <w:rsid w:val="00177F65"/>
    <w:rsid w:val="001C5EB2"/>
    <w:rsid w:val="00273AA2"/>
    <w:rsid w:val="00281939"/>
    <w:rsid w:val="002926D7"/>
    <w:rsid w:val="002A248F"/>
    <w:rsid w:val="002D367F"/>
    <w:rsid w:val="002E16C7"/>
    <w:rsid w:val="002F4FEA"/>
    <w:rsid w:val="00313133"/>
    <w:rsid w:val="003239DA"/>
    <w:rsid w:val="003429BA"/>
    <w:rsid w:val="003469FA"/>
    <w:rsid w:val="00393250"/>
    <w:rsid w:val="003D13A1"/>
    <w:rsid w:val="003E3235"/>
    <w:rsid w:val="00403CC2"/>
    <w:rsid w:val="00404DC6"/>
    <w:rsid w:val="004121F8"/>
    <w:rsid w:val="0041713F"/>
    <w:rsid w:val="0043025E"/>
    <w:rsid w:val="00474610"/>
    <w:rsid w:val="0048081D"/>
    <w:rsid w:val="0048141A"/>
    <w:rsid w:val="004B3F77"/>
    <w:rsid w:val="004C016D"/>
    <w:rsid w:val="004C68A3"/>
    <w:rsid w:val="004C766D"/>
    <w:rsid w:val="00515609"/>
    <w:rsid w:val="0052539E"/>
    <w:rsid w:val="00536E91"/>
    <w:rsid w:val="00541793"/>
    <w:rsid w:val="00552C09"/>
    <w:rsid w:val="005575F4"/>
    <w:rsid w:val="00565038"/>
    <w:rsid w:val="005863CD"/>
    <w:rsid w:val="005A480B"/>
    <w:rsid w:val="005B1047"/>
    <w:rsid w:val="005B13CA"/>
    <w:rsid w:val="005C1D1E"/>
    <w:rsid w:val="00611B33"/>
    <w:rsid w:val="00617F4A"/>
    <w:rsid w:val="00621CA1"/>
    <w:rsid w:val="00644FE8"/>
    <w:rsid w:val="00676388"/>
    <w:rsid w:val="00695AFA"/>
    <w:rsid w:val="006B5D02"/>
    <w:rsid w:val="006C1E29"/>
    <w:rsid w:val="006D23BE"/>
    <w:rsid w:val="006E2949"/>
    <w:rsid w:val="006E642F"/>
    <w:rsid w:val="006E7C79"/>
    <w:rsid w:val="006F0BB4"/>
    <w:rsid w:val="006F38C3"/>
    <w:rsid w:val="007163A2"/>
    <w:rsid w:val="00727705"/>
    <w:rsid w:val="0073089F"/>
    <w:rsid w:val="00736E42"/>
    <w:rsid w:val="007445F2"/>
    <w:rsid w:val="0075394F"/>
    <w:rsid w:val="00762764"/>
    <w:rsid w:val="0076653B"/>
    <w:rsid w:val="00775397"/>
    <w:rsid w:val="00781D1C"/>
    <w:rsid w:val="00785AC8"/>
    <w:rsid w:val="007932B0"/>
    <w:rsid w:val="007B6304"/>
    <w:rsid w:val="007D3157"/>
    <w:rsid w:val="007E1FD3"/>
    <w:rsid w:val="007E5FCF"/>
    <w:rsid w:val="007F19E0"/>
    <w:rsid w:val="00823733"/>
    <w:rsid w:val="00846A0A"/>
    <w:rsid w:val="008556D2"/>
    <w:rsid w:val="008620AE"/>
    <w:rsid w:val="00862D26"/>
    <w:rsid w:val="00877702"/>
    <w:rsid w:val="00895BD1"/>
    <w:rsid w:val="008A18EE"/>
    <w:rsid w:val="008A191E"/>
    <w:rsid w:val="008B2DB3"/>
    <w:rsid w:val="008D0C5F"/>
    <w:rsid w:val="008D68E5"/>
    <w:rsid w:val="008E3910"/>
    <w:rsid w:val="009048E7"/>
    <w:rsid w:val="009056D4"/>
    <w:rsid w:val="00921791"/>
    <w:rsid w:val="0093566C"/>
    <w:rsid w:val="00954CE5"/>
    <w:rsid w:val="00967666"/>
    <w:rsid w:val="00984220"/>
    <w:rsid w:val="0098645F"/>
    <w:rsid w:val="009D2F5E"/>
    <w:rsid w:val="00A015C0"/>
    <w:rsid w:val="00A1428A"/>
    <w:rsid w:val="00A2022C"/>
    <w:rsid w:val="00A21B87"/>
    <w:rsid w:val="00A2396C"/>
    <w:rsid w:val="00A4446F"/>
    <w:rsid w:val="00A50C7C"/>
    <w:rsid w:val="00A52C6F"/>
    <w:rsid w:val="00A67A41"/>
    <w:rsid w:val="00A77B3C"/>
    <w:rsid w:val="00A810FF"/>
    <w:rsid w:val="00AB12F1"/>
    <w:rsid w:val="00AB6026"/>
    <w:rsid w:val="00AD4AD7"/>
    <w:rsid w:val="00AE3731"/>
    <w:rsid w:val="00B1154F"/>
    <w:rsid w:val="00B24FE9"/>
    <w:rsid w:val="00B534E0"/>
    <w:rsid w:val="00B61BB5"/>
    <w:rsid w:val="00B66C43"/>
    <w:rsid w:val="00B700B5"/>
    <w:rsid w:val="00B90EE6"/>
    <w:rsid w:val="00BA1D5E"/>
    <w:rsid w:val="00BA69D7"/>
    <w:rsid w:val="00BC685D"/>
    <w:rsid w:val="00C050FB"/>
    <w:rsid w:val="00C1491A"/>
    <w:rsid w:val="00C25634"/>
    <w:rsid w:val="00C44093"/>
    <w:rsid w:val="00C50402"/>
    <w:rsid w:val="00C52B42"/>
    <w:rsid w:val="00C538C1"/>
    <w:rsid w:val="00C74A2C"/>
    <w:rsid w:val="00CA0FE1"/>
    <w:rsid w:val="00CD3A69"/>
    <w:rsid w:val="00CE2F91"/>
    <w:rsid w:val="00CE509A"/>
    <w:rsid w:val="00D014E7"/>
    <w:rsid w:val="00D01B74"/>
    <w:rsid w:val="00D4547D"/>
    <w:rsid w:val="00D462AC"/>
    <w:rsid w:val="00D7109F"/>
    <w:rsid w:val="00D74863"/>
    <w:rsid w:val="00D9772B"/>
    <w:rsid w:val="00DC34B5"/>
    <w:rsid w:val="00DD2C63"/>
    <w:rsid w:val="00DD71E1"/>
    <w:rsid w:val="00DE44C0"/>
    <w:rsid w:val="00DE6F05"/>
    <w:rsid w:val="00DF1736"/>
    <w:rsid w:val="00E0369F"/>
    <w:rsid w:val="00E06F12"/>
    <w:rsid w:val="00E101A5"/>
    <w:rsid w:val="00E107E3"/>
    <w:rsid w:val="00E47D75"/>
    <w:rsid w:val="00E551DD"/>
    <w:rsid w:val="00E56FDE"/>
    <w:rsid w:val="00E82F5C"/>
    <w:rsid w:val="00E86E05"/>
    <w:rsid w:val="00EA46EB"/>
    <w:rsid w:val="00EB1236"/>
    <w:rsid w:val="00EB48C2"/>
    <w:rsid w:val="00EB7E00"/>
    <w:rsid w:val="00EE0AB8"/>
    <w:rsid w:val="00EE20A3"/>
    <w:rsid w:val="00EE544B"/>
    <w:rsid w:val="00EF6EE3"/>
    <w:rsid w:val="00F15016"/>
    <w:rsid w:val="00F67A98"/>
    <w:rsid w:val="00F8200E"/>
    <w:rsid w:val="00F85315"/>
    <w:rsid w:val="00F92BF8"/>
    <w:rsid w:val="00FA68D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B6858C"/>
  <w15:docId w15:val="{491753E9-50A3-4FFD-9C66-CEE74F8F1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sz w:val="24"/>
        <w:szCs w:val="24"/>
        <w:bdr w:val="nil"/>
        <w:lang w:val="en-US" w:eastAsia="en-US" w:bidi="ar-SA"/>
      </w:rPr>
    </w:rPrDefault>
    <w:pPrDefault>
      <w:pPr>
        <w:pBdr>
          <w:top w:val="nil"/>
          <w:left w:val="nil"/>
          <w:bottom w:val="nil"/>
          <w:right w:val="nil"/>
          <w:between w:val="nil"/>
          <w:bar w:val="nil"/>
        </w:pBdr>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93566C"/>
  </w:style>
  <w:style w:type="paragraph" w:styleId="Heading1">
    <w:name w:val="heading 1"/>
    <w:basedOn w:val="Normal"/>
    <w:next w:val="Normal"/>
    <w:link w:val="Heading1Char"/>
    <w:uiPriority w:val="9"/>
    <w:qFormat/>
    <w:rsid w:val="00F67A9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F67A98"/>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3566C"/>
    <w:rPr>
      <w:u w:val="single"/>
    </w:rPr>
  </w:style>
  <w:style w:type="paragraph" w:customStyle="1" w:styleId="HeaderFooter">
    <w:name w:val="Header &amp; Footer"/>
    <w:rsid w:val="0093566C"/>
    <w:pPr>
      <w:tabs>
        <w:tab w:val="right" w:pos="9020"/>
      </w:tabs>
    </w:pPr>
    <w:rPr>
      <w:rFonts w:ascii="Helvetica Neue" w:hAnsi="Helvetica Neue" w:cs="Arial Unicode MS"/>
      <w:color w:val="000000"/>
    </w:rPr>
  </w:style>
  <w:style w:type="paragraph" w:styleId="PlainText">
    <w:name w:val="Plain Text"/>
    <w:rsid w:val="0093566C"/>
    <w:rPr>
      <w:rFonts w:ascii="Calibri" w:eastAsia="Calibri" w:hAnsi="Calibri" w:cs="Calibri"/>
      <w:color w:val="000000"/>
      <w:sz w:val="22"/>
      <w:szCs w:val="22"/>
      <w:u w:color="000000"/>
    </w:rPr>
  </w:style>
  <w:style w:type="paragraph" w:customStyle="1" w:styleId="Body">
    <w:name w:val="Body"/>
    <w:rsid w:val="0093566C"/>
    <w:rPr>
      <w:rFonts w:cs="Arial Unicode MS"/>
      <w:color w:val="000000"/>
      <w:u w:color="000000"/>
      <w:lang w:val="de-DE"/>
    </w:rPr>
  </w:style>
  <w:style w:type="character" w:customStyle="1" w:styleId="Link">
    <w:name w:val="Link"/>
    <w:rsid w:val="0093566C"/>
    <w:rPr>
      <w:color w:val="0000FF"/>
      <w:u w:val="single" w:color="0000FF"/>
    </w:rPr>
  </w:style>
  <w:style w:type="character" w:customStyle="1" w:styleId="Hyperlink0">
    <w:name w:val="Hyperlink.0"/>
    <w:basedOn w:val="Link"/>
    <w:rsid w:val="0093566C"/>
    <w:rPr>
      <w:color w:val="0000FF"/>
      <w:sz w:val="16"/>
      <w:szCs w:val="16"/>
      <w:u w:val="single" w:color="0000FF"/>
    </w:rPr>
  </w:style>
  <w:style w:type="numbering" w:customStyle="1" w:styleId="ImportedStyle1">
    <w:name w:val="Imported Style 1"/>
    <w:rsid w:val="0093566C"/>
    <w:pPr>
      <w:numPr>
        <w:numId w:val="1"/>
      </w:numPr>
    </w:pPr>
  </w:style>
  <w:style w:type="paragraph" w:styleId="ListParagraph">
    <w:name w:val="List Paragraph"/>
    <w:qFormat/>
    <w:rsid w:val="0093566C"/>
    <w:pPr>
      <w:ind w:left="720"/>
    </w:pPr>
    <w:rPr>
      <w:rFonts w:eastAsia="Times New Roman"/>
      <w:color w:val="000000"/>
      <w:u w:color="000000"/>
    </w:rPr>
  </w:style>
  <w:style w:type="paragraph" w:customStyle="1" w:styleId="Default">
    <w:name w:val="Default"/>
    <w:rsid w:val="0093566C"/>
    <w:rPr>
      <w:rFonts w:ascii="Helvetica Neue" w:eastAsia="Helvetica Neue" w:hAnsi="Helvetica Neue" w:cs="Helvetica Neue"/>
      <w:color w:val="000000"/>
      <w:sz w:val="22"/>
      <w:szCs w:val="22"/>
    </w:rPr>
  </w:style>
  <w:style w:type="character" w:customStyle="1" w:styleId="Hyperlink1">
    <w:name w:val="Hyperlink.1"/>
    <w:basedOn w:val="Link"/>
    <w:rsid w:val="0093566C"/>
    <w:rPr>
      <w:rFonts w:ascii="Calibri" w:eastAsia="Calibri" w:hAnsi="Calibri" w:cs="Calibri"/>
      <w:color w:val="0000FF"/>
      <w:sz w:val="22"/>
      <w:szCs w:val="22"/>
      <w:u w:val="single" w:color="0000FF"/>
    </w:rPr>
  </w:style>
  <w:style w:type="character" w:customStyle="1" w:styleId="Hyperlink2">
    <w:name w:val="Hyperlink.2"/>
    <w:basedOn w:val="Link"/>
    <w:rsid w:val="0093566C"/>
    <w:rPr>
      <w:rFonts w:ascii="Calibri" w:eastAsia="Calibri" w:hAnsi="Calibri" w:cs="Calibri"/>
      <w:color w:val="0000FF"/>
      <w:sz w:val="20"/>
      <w:szCs w:val="20"/>
      <w:u w:val="single" w:color="0000FF"/>
    </w:rPr>
  </w:style>
  <w:style w:type="numbering" w:customStyle="1" w:styleId="ImportedStyle2">
    <w:name w:val="Imported Style 2"/>
    <w:rsid w:val="0093566C"/>
    <w:pPr>
      <w:numPr>
        <w:numId w:val="3"/>
      </w:numPr>
    </w:pPr>
  </w:style>
  <w:style w:type="paragraph" w:styleId="CommentText">
    <w:name w:val="annotation text"/>
    <w:basedOn w:val="Normal"/>
    <w:link w:val="CommentTextChar"/>
    <w:unhideWhenUsed/>
    <w:rsid w:val="0093566C"/>
    <w:rPr>
      <w:sz w:val="20"/>
      <w:szCs w:val="20"/>
    </w:rPr>
  </w:style>
  <w:style w:type="character" w:customStyle="1" w:styleId="CommentTextChar">
    <w:name w:val="Comment Text Char"/>
    <w:basedOn w:val="DefaultParagraphFont"/>
    <w:link w:val="CommentText"/>
    <w:rsid w:val="0093566C"/>
  </w:style>
  <w:style w:type="character" w:styleId="CommentReference">
    <w:name w:val="annotation reference"/>
    <w:basedOn w:val="DefaultParagraphFont"/>
    <w:unhideWhenUsed/>
    <w:rsid w:val="0093566C"/>
    <w:rPr>
      <w:sz w:val="16"/>
      <w:szCs w:val="16"/>
    </w:rPr>
  </w:style>
  <w:style w:type="paragraph" w:styleId="BalloonText">
    <w:name w:val="Balloon Text"/>
    <w:basedOn w:val="Normal"/>
    <w:link w:val="BalloonTextChar"/>
    <w:uiPriority w:val="99"/>
    <w:semiHidden/>
    <w:unhideWhenUsed/>
    <w:rsid w:val="00CE509A"/>
    <w:rPr>
      <w:rFonts w:ascii="Tahoma" w:hAnsi="Tahoma" w:cs="Tahoma"/>
      <w:sz w:val="16"/>
      <w:szCs w:val="16"/>
    </w:rPr>
  </w:style>
  <w:style w:type="character" w:customStyle="1" w:styleId="BalloonTextChar">
    <w:name w:val="Balloon Text Char"/>
    <w:basedOn w:val="DefaultParagraphFont"/>
    <w:link w:val="BalloonText"/>
    <w:uiPriority w:val="99"/>
    <w:semiHidden/>
    <w:rsid w:val="00CE509A"/>
    <w:rPr>
      <w:rFonts w:ascii="Tahoma" w:hAnsi="Tahoma" w:cs="Tahoma"/>
      <w:sz w:val="16"/>
      <w:szCs w:val="16"/>
    </w:rPr>
  </w:style>
  <w:style w:type="paragraph" w:styleId="Header">
    <w:name w:val="header"/>
    <w:basedOn w:val="Normal"/>
    <w:link w:val="HeaderChar"/>
    <w:uiPriority w:val="99"/>
    <w:unhideWhenUsed/>
    <w:rsid w:val="00F8200E"/>
    <w:pPr>
      <w:tabs>
        <w:tab w:val="center" w:pos="4513"/>
        <w:tab w:val="right" w:pos="9026"/>
      </w:tabs>
    </w:pPr>
  </w:style>
  <w:style w:type="character" w:customStyle="1" w:styleId="HeaderChar">
    <w:name w:val="Header Char"/>
    <w:basedOn w:val="DefaultParagraphFont"/>
    <w:link w:val="Header"/>
    <w:uiPriority w:val="99"/>
    <w:rsid w:val="00F8200E"/>
    <w:rPr>
      <w:sz w:val="24"/>
      <w:szCs w:val="24"/>
    </w:rPr>
  </w:style>
  <w:style w:type="paragraph" w:styleId="Footer">
    <w:name w:val="footer"/>
    <w:basedOn w:val="Normal"/>
    <w:link w:val="FooterChar"/>
    <w:uiPriority w:val="99"/>
    <w:unhideWhenUsed/>
    <w:rsid w:val="00F8200E"/>
    <w:pPr>
      <w:tabs>
        <w:tab w:val="center" w:pos="4513"/>
        <w:tab w:val="right" w:pos="9026"/>
      </w:tabs>
    </w:pPr>
  </w:style>
  <w:style w:type="character" w:customStyle="1" w:styleId="FooterChar">
    <w:name w:val="Footer Char"/>
    <w:basedOn w:val="DefaultParagraphFont"/>
    <w:link w:val="Footer"/>
    <w:uiPriority w:val="99"/>
    <w:rsid w:val="00F8200E"/>
    <w:rPr>
      <w:sz w:val="24"/>
      <w:szCs w:val="24"/>
    </w:rPr>
  </w:style>
  <w:style w:type="paragraph" w:customStyle="1" w:styleId="standfirst">
    <w:name w:val="standfirst"/>
    <w:basedOn w:val="Normal"/>
    <w:uiPriority w:val="99"/>
    <w:semiHidden/>
    <w:rsid w:val="00C5040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heme="minorHAnsi"/>
      <w:bdr w:val="none" w:sz="0" w:space="0" w:color="auto"/>
    </w:rPr>
  </w:style>
  <w:style w:type="paragraph" w:styleId="NormalWeb">
    <w:name w:val="Normal (Web)"/>
    <w:basedOn w:val="Normal"/>
    <w:uiPriority w:val="99"/>
    <w:unhideWhenUsed/>
    <w:rsid w:val="00C5040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table" w:styleId="TableGrid">
    <w:name w:val="Table Grid"/>
    <w:basedOn w:val="TableNormal"/>
    <w:uiPriority w:val="59"/>
    <w:rsid w:val="00EA46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86E05"/>
    <w:pPr>
      <w:pBdr>
        <w:top w:val="none" w:sz="0" w:space="0" w:color="auto"/>
        <w:left w:val="none" w:sz="0" w:space="0" w:color="auto"/>
        <w:bottom w:val="none" w:sz="0" w:space="0" w:color="auto"/>
        <w:right w:val="none" w:sz="0" w:space="0" w:color="auto"/>
        <w:between w:val="none" w:sz="0" w:space="0" w:color="auto"/>
        <w:bar w:val="none" w:sz="0" w:color="auto"/>
      </w:pBdr>
    </w:pPr>
  </w:style>
  <w:style w:type="paragraph" w:styleId="Title">
    <w:name w:val="Title"/>
    <w:basedOn w:val="Normal"/>
    <w:next w:val="Normal"/>
    <w:link w:val="TitleChar"/>
    <w:uiPriority w:val="10"/>
    <w:qFormat/>
    <w:rsid w:val="008556D2"/>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556D2"/>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F67A98"/>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F67A98"/>
    <w:rPr>
      <w:rFonts w:asciiTheme="majorHAnsi" w:eastAsiaTheme="majorEastAsia" w:hAnsiTheme="majorHAnsi" w:cstheme="majorBidi"/>
      <w:color w:val="2E74B5" w:themeColor="accent1" w:themeShade="BF"/>
      <w:sz w:val="26"/>
      <w:szCs w:val="26"/>
    </w:rPr>
  </w:style>
  <w:style w:type="paragraph" w:styleId="CommentSubject">
    <w:name w:val="annotation subject"/>
    <w:basedOn w:val="CommentText"/>
    <w:next w:val="CommentText"/>
    <w:link w:val="CommentSubjectChar"/>
    <w:uiPriority w:val="99"/>
    <w:semiHidden/>
    <w:unhideWhenUsed/>
    <w:rsid w:val="00A2022C"/>
    <w:rPr>
      <w:b/>
      <w:bCs/>
    </w:rPr>
  </w:style>
  <w:style w:type="character" w:customStyle="1" w:styleId="CommentSubjectChar">
    <w:name w:val="Comment Subject Char"/>
    <w:basedOn w:val="CommentTextChar"/>
    <w:link w:val="CommentSubject"/>
    <w:uiPriority w:val="99"/>
    <w:semiHidden/>
    <w:rsid w:val="00A2022C"/>
    <w:rPr>
      <w:b/>
      <w:bCs/>
    </w:rPr>
  </w:style>
  <w:style w:type="paragraph" w:customStyle="1" w:styleId="xmsonormal">
    <w:name w:val="x_msonormal"/>
    <w:basedOn w:val="Normal"/>
    <w:rsid w:val="00EE0AB8"/>
    <w:pPr>
      <w:pBdr>
        <w:top w:val="none" w:sz="0" w:space="0" w:color="auto"/>
        <w:left w:val="none" w:sz="0" w:space="0" w:color="auto"/>
        <w:bottom w:val="none" w:sz="0" w:space="0" w:color="auto"/>
        <w:right w:val="none" w:sz="0" w:space="0" w:color="auto"/>
        <w:between w:val="none" w:sz="0" w:space="0" w:color="auto"/>
        <w:bar w:val="none" w:sz="0" w:color="auto"/>
      </w:pBdr>
      <w:spacing w:beforeLines="1" w:afterLines="1"/>
    </w:pPr>
    <w:rPr>
      <w:rFonts w:ascii="Times" w:eastAsiaTheme="minorHAnsi" w:hAnsi="Times" w:cstheme="minorBidi"/>
      <w:sz w:val="20"/>
      <w:szCs w:val="20"/>
      <w:bdr w:val="none" w:sz="0" w:space="0" w:color="auto"/>
      <w:lang w:val="en-GB"/>
    </w:rPr>
  </w:style>
  <w:style w:type="character" w:customStyle="1" w:styleId="apple-converted-space">
    <w:name w:val="apple-converted-space"/>
    <w:basedOn w:val="DefaultParagraphFont"/>
    <w:rsid w:val="00EE0AB8"/>
  </w:style>
  <w:style w:type="paragraph" w:customStyle="1" w:styleId="xmsolistparagraph">
    <w:name w:val="x_msolistparagraph"/>
    <w:basedOn w:val="Normal"/>
    <w:rsid w:val="00EE0AB8"/>
    <w:pPr>
      <w:pBdr>
        <w:top w:val="none" w:sz="0" w:space="0" w:color="auto"/>
        <w:left w:val="none" w:sz="0" w:space="0" w:color="auto"/>
        <w:bottom w:val="none" w:sz="0" w:space="0" w:color="auto"/>
        <w:right w:val="none" w:sz="0" w:space="0" w:color="auto"/>
        <w:between w:val="none" w:sz="0" w:space="0" w:color="auto"/>
        <w:bar w:val="none" w:sz="0" w:color="auto"/>
      </w:pBdr>
      <w:spacing w:beforeLines="1" w:afterLines="1"/>
    </w:pPr>
    <w:rPr>
      <w:rFonts w:ascii="Times" w:eastAsiaTheme="minorHAnsi" w:hAnsi="Times" w:cstheme="minorBidi"/>
      <w:sz w:val="20"/>
      <w:szCs w:val="20"/>
      <w:bdr w:val="none" w:sz="0" w:space="0" w:color="auto"/>
      <w:lang w:val="en-GB"/>
    </w:rPr>
  </w:style>
  <w:style w:type="paragraph" w:customStyle="1" w:styleId="xmsolistparagraphcxspmiddle">
    <w:name w:val="x_msolistparagraphcxspmiddle"/>
    <w:basedOn w:val="Normal"/>
    <w:rsid w:val="00EE0AB8"/>
    <w:pPr>
      <w:pBdr>
        <w:top w:val="none" w:sz="0" w:space="0" w:color="auto"/>
        <w:left w:val="none" w:sz="0" w:space="0" w:color="auto"/>
        <w:bottom w:val="none" w:sz="0" w:space="0" w:color="auto"/>
        <w:right w:val="none" w:sz="0" w:space="0" w:color="auto"/>
        <w:between w:val="none" w:sz="0" w:space="0" w:color="auto"/>
        <w:bar w:val="none" w:sz="0" w:color="auto"/>
      </w:pBdr>
      <w:spacing w:beforeLines="1" w:afterLines="1"/>
    </w:pPr>
    <w:rPr>
      <w:rFonts w:ascii="Times" w:eastAsiaTheme="minorHAnsi" w:hAnsi="Times" w:cstheme="minorBidi"/>
      <w:sz w:val="20"/>
      <w:szCs w:val="20"/>
      <w:bdr w:val="none" w:sz="0" w:space="0" w:color="auto"/>
      <w:lang w:val="en-GB"/>
    </w:rPr>
  </w:style>
  <w:style w:type="paragraph" w:customStyle="1" w:styleId="xmsolistparagraphcxsplast">
    <w:name w:val="x_msolistparagraphcxsplast"/>
    <w:basedOn w:val="Normal"/>
    <w:rsid w:val="00EE0AB8"/>
    <w:pPr>
      <w:pBdr>
        <w:top w:val="none" w:sz="0" w:space="0" w:color="auto"/>
        <w:left w:val="none" w:sz="0" w:space="0" w:color="auto"/>
        <w:bottom w:val="none" w:sz="0" w:space="0" w:color="auto"/>
        <w:right w:val="none" w:sz="0" w:space="0" w:color="auto"/>
        <w:between w:val="none" w:sz="0" w:space="0" w:color="auto"/>
        <w:bar w:val="none" w:sz="0" w:color="auto"/>
      </w:pBdr>
      <w:spacing w:beforeLines="1" w:afterLines="1"/>
    </w:pPr>
    <w:rPr>
      <w:rFonts w:ascii="Times" w:eastAsiaTheme="minorHAnsi" w:hAnsi="Times" w:cstheme="minorBidi"/>
      <w:sz w:val="20"/>
      <w:szCs w:val="20"/>
      <w:bdr w:val="none" w:sz="0" w:space="0" w:color="auto"/>
      <w:lang w:val="en-GB"/>
    </w:rPr>
  </w:style>
  <w:style w:type="paragraph" w:customStyle="1" w:styleId="BasicParagraph">
    <w:name w:val="[Basic Paragraph]"/>
    <w:basedOn w:val="Normal"/>
    <w:uiPriority w:val="99"/>
    <w:rsid w:val="007F19E0"/>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88" w:lineRule="auto"/>
      <w:textAlignment w:val="center"/>
    </w:pPr>
    <w:rPr>
      <w:rFonts w:ascii="MinionPro-Regular" w:hAnsi="MinionPro-Regular" w:cs="MinionPro-Regular"/>
      <w:color w:val="000000"/>
      <w:lang w:val="en-GB"/>
    </w:rPr>
  </w:style>
  <w:style w:type="paragraph" w:styleId="NoSpacing">
    <w:name w:val="No Spacing"/>
    <w:uiPriority w:val="1"/>
    <w:qFormat/>
    <w:rsid w:val="00E47D75"/>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val="en-GB"/>
    </w:rPr>
  </w:style>
  <w:style w:type="character" w:styleId="Emphasis">
    <w:name w:val="Emphasis"/>
    <w:basedOn w:val="DefaultParagraphFont"/>
    <w:uiPriority w:val="20"/>
    <w:qFormat/>
    <w:rsid w:val="00E47D75"/>
    <w:rPr>
      <w:i/>
      <w:iCs/>
    </w:rPr>
  </w:style>
  <w:style w:type="paragraph" w:styleId="FootnoteText">
    <w:name w:val="footnote text"/>
    <w:basedOn w:val="Normal"/>
    <w:link w:val="FootnoteTextChar"/>
    <w:semiHidden/>
    <w:unhideWhenUsed/>
    <w:rsid w:val="00862D26"/>
    <w:rPr>
      <w:sz w:val="20"/>
      <w:szCs w:val="20"/>
    </w:rPr>
  </w:style>
  <w:style w:type="character" w:customStyle="1" w:styleId="FootnoteTextChar">
    <w:name w:val="Footnote Text Char"/>
    <w:basedOn w:val="DefaultParagraphFont"/>
    <w:link w:val="FootnoteText"/>
    <w:semiHidden/>
    <w:rsid w:val="00862D26"/>
    <w:rPr>
      <w:sz w:val="20"/>
      <w:szCs w:val="20"/>
    </w:rPr>
  </w:style>
  <w:style w:type="character" w:styleId="FootnoteReference">
    <w:name w:val="footnote reference"/>
    <w:basedOn w:val="DefaultParagraphFont"/>
    <w:semiHidden/>
    <w:unhideWhenUsed/>
    <w:rsid w:val="00862D26"/>
    <w:rPr>
      <w:vertAlign w:val="superscript"/>
    </w:rPr>
  </w:style>
  <w:style w:type="character" w:styleId="UnresolvedMention">
    <w:name w:val="Unresolved Mention"/>
    <w:basedOn w:val="DefaultParagraphFont"/>
    <w:uiPriority w:val="99"/>
    <w:semiHidden/>
    <w:unhideWhenUsed/>
    <w:rsid w:val="009217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566291">
      <w:bodyDiv w:val="1"/>
      <w:marLeft w:val="0"/>
      <w:marRight w:val="0"/>
      <w:marTop w:val="0"/>
      <w:marBottom w:val="0"/>
      <w:divBdr>
        <w:top w:val="none" w:sz="0" w:space="0" w:color="auto"/>
        <w:left w:val="none" w:sz="0" w:space="0" w:color="auto"/>
        <w:bottom w:val="none" w:sz="0" w:space="0" w:color="auto"/>
        <w:right w:val="none" w:sz="0" w:space="0" w:color="auto"/>
      </w:divBdr>
    </w:div>
    <w:div w:id="90470858">
      <w:bodyDiv w:val="1"/>
      <w:marLeft w:val="0"/>
      <w:marRight w:val="0"/>
      <w:marTop w:val="0"/>
      <w:marBottom w:val="0"/>
      <w:divBdr>
        <w:top w:val="none" w:sz="0" w:space="0" w:color="auto"/>
        <w:left w:val="none" w:sz="0" w:space="0" w:color="auto"/>
        <w:bottom w:val="none" w:sz="0" w:space="0" w:color="auto"/>
        <w:right w:val="none" w:sz="0" w:space="0" w:color="auto"/>
      </w:divBdr>
    </w:div>
    <w:div w:id="235092880">
      <w:bodyDiv w:val="1"/>
      <w:marLeft w:val="0"/>
      <w:marRight w:val="0"/>
      <w:marTop w:val="0"/>
      <w:marBottom w:val="0"/>
      <w:divBdr>
        <w:top w:val="none" w:sz="0" w:space="0" w:color="auto"/>
        <w:left w:val="none" w:sz="0" w:space="0" w:color="auto"/>
        <w:bottom w:val="none" w:sz="0" w:space="0" w:color="auto"/>
        <w:right w:val="none" w:sz="0" w:space="0" w:color="auto"/>
      </w:divBdr>
    </w:div>
    <w:div w:id="312872556">
      <w:bodyDiv w:val="1"/>
      <w:marLeft w:val="0"/>
      <w:marRight w:val="0"/>
      <w:marTop w:val="0"/>
      <w:marBottom w:val="0"/>
      <w:divBdr>
        <w:top w:val="none" w:sz="0" w:space="0" w:color="auto"/>
        <w:left w:val="none" w:sz="0" w:space="0" w:color="auto"/>
        <w:bottom w:val="none" w:sz="0" w:space="0" w:color="auto"/>
        <w:right w:val="none" w:sz="0" w:space="0" w:color="auto"/>
      </w:divBdr>
    </w:div>
    <w:div w:id="518082833">
      <w:bodyDiv w:val="1"/>
      <w:marLeft w:val="0"/>
      <w:marRight w:val="0"/>
      <w:marTop w:val="0"/>
      <w:marBottom w:val="0"/>
      <w:divBdr>
        <w:top w:val="none" w:sz="0" w:space="0" w:color="auto"/>
        <w:left w:val="none" w:sz="0" w:space="0" w:color="auto"/>
        <w:bottom w:val="none" w:sz="0" w:space="0" w:color="auto"/>
        <w:right w:val="none" w:sz="0" w:space="0" w:color="auto"/>
      </w:divBdr>
    </w:div>
    <w:div w:id="972714458">
      <w:bodyDiv w:val="1"/>
      <w:marLeft w:val="0"/>
      <w:marRight w:val="0"/>
      <w:marTop w:val="0"/>
      <w:marBottom w:val="0"/>
      <w:divBdr>
        <w:top w:val="none" w:sz="0" w:space="0" w:color="auto"/>
        <w:left w:val="none" w:sz="0" w:space="0" w:color="auto"/>
        <w:bottom w:val="none" w:sz="0" w:space="0" w:color="auto"/>
        <w:right w:val="none" w:sz="0" w:space="0" w:color="auto"/>
      </w:divBdr>
    </w:div>
    <w:div w:id="1048839670">
      <w:bodyDiv w:val="1"/>
      <w:marLeft w:val="0"/>
      <w:marRight w:val="0"/>
      <w:marTop w:val="0"/>
      <w:marBottom w:val="0"/>
      <w:divBdr>
        <w:top w:val="none" w:sz="0" w:space="0" w:color="auto"/>
        <w:left w:val="none" w:sz="0" w:space="0" w:color="auto"/>
        <w:bottom w:val="none" w:sz="0" w:space="0" w:color="auto"/>
        <w:right w:val="none" w:sz="0" w:space="0" w:color="auto"/>
      </w:divBdr>
      <w:divsChild>
        <w:div w:id="50926321">
          <w:marLeft w:val="0"/>
          <w:marRight w:val="0"/>
          <w:marTop w:val="855"/>
          <w:marBottom w:val="0"/>
          <w:divBdr>
            <w:top w:val="none" w:sz="0" w:space="0" w:color="auto"/>
            <w:left w:val="none" w:sz="0" w:space="0" w:color="auto"/>
            <w:bottom w:val="none" w:sz="0" w:space="0" w:color="auto"/>
            <w:right w:val="none" w:sz="0" w:space="0" w:color="auto"/>
          </w:divBdr>
          <w:divsChild>
            <w:div w:id="727844688">
              <w:marLeft w:val="0"/>
              <w:marRight w:val="0"/>
              <w:marTop w:val="0"/>
              <w:marBottom w:val="0"/>
              <w:divBdr>
                <w:top w:val="none" w:sz="0" w:space="0" w:color="auto"/>
                <w:left w:val="none" w:sz="0" w:space="0" w:color="auto"/>
                <w:bottom w:val="none" w:sz="0" w:space="0" w:color="auto"/>
                <w:right w:val="none" w:sz="0" w:space="0" w:color="auto"/>
              </w:divBdr>
              <w:divsChild>
                <w:div w:id="2058963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8185181">
      <w:bodyDiv w:val="1"/>
      <w:marLeft w:val="0"/>
      <w:marRight w:val="0"/>
      <w:marTop w:val="0"/>
      <w:marBottom w:val="0"/>
      <w:divBdr>
        <w:top w:val="none" w:sz="0" w:space="0" w:color="auto"/>
        <w:left w:val="none" w:sz="0" w:space="0" w:color="auto"/>
        <w:bottom w:val="none" w:sz="0" w:space="0" w:color="auto"/>
        <w:right w:val="none" w:sz="0" w:space="0" w:color="auto"/>
      </w:divBdr>
    </w:div>
    <w:div w:id="1273437936">
      <w:bodyDiv w:val="1"/>
      <w:marLeft w:val="0"/>
      <w:marRight w:val="0"/>
      <w:marTop w:val="0"/>
      <w:marBottom w:val="0"/>
      <w:divBdr>
        <w:top w:val="none" w:sz="0" w:space="0" w:color="auto"/>
        <w:left w:val="none" w:sz="0" w:space="0" w:color="auto"/>
        <w:bottom w:val="none" w:sz="0" w:space="0" w:color="auto"/>
        <w:right w:val="none" w:sz="0" w:space="0" w:color="auto"/>
      </w:divBdr>
    </w:div>
    <w:div w:id="2004434067">
      <w:bodyDiv w:val="1"/>
      <w:marLeft w:val="0"/>
      <w:marRight w:val="0"/>
      <w:marTop w:val="0"/>
      <w:marBottom w:val="0"/>
      <w:divBdr>
        <w:top w:val="none" w:sz="0" w:space="0" w:color="auto"/>
        <w:left w:val="none" w:sz="0" w:space="0" w:color="auto"/>
        <w:bottom w:val="none" w:sz="0" w:space="0" w:color="auto"/>
        <w:right w:val="none" w:sz="0" w:space="0" w:color="auto"/>
      </w:divBdr>
    </w:div>
    <w:div w:id="21413348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hsglos.nhs.uk/have-your-say/working-with-you/strategy-and-insigh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276215-B9BE-854F-B7E0-96DFDE7763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898</Words>
  <Characters>5120</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6006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One Gloucestershire</dc:creator>
  <cp:keywords/>
  <dc:description/>
  <cp:lastModifiedBy>GRADOWSKI, Christina (NHS GLOUCESTERSHIRE ICB - 11M)</cp:lastModifiedBy>
  <cp:revision>2</cp:revision>
  <cp:lastPrinted>2022-06-17T11:42:00Z</cp:lastPrinted>
  <dcterms:created xsi:type="dcterms:W3CDTF">2022-09-20T12:28:00Z</dcterms:created>
  <dcterms:modified xsi:type="dcterms:W3CDTF">2022-09-20T12:28:00Z</dcterms:modified>
  <cp:category/>
</cp:coreProperties>
</file>