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0"/>
        <w:gridCol w:w="5196"/>
      </w:tblGrid>
      <w:tr w:rsidR="00A27C68" w14:paraId="7F9F61C2" w14:textId="77777777" w:rsidTr="00495E6A">
        <w:tc>
          <w:tcPr>
            <w:tcW w:w="5341" w:type="dxa"/>
          </w:tcPr>
          <w:p w14:paraId="7F67F2D6" w14:textId="74C1C917" w:rsidR="00A27C68" w:rsidRDefault="00A27C68" w:rsidP="00A27C68">
            <w:pPr>
              <w:rPr>
                <w:noProof/>
                <w:lang w:eastAsia="en-GB"/>
              </w:rPr>
            </w:pPr>
            <w:r>
              <w:rPr>
                <w:noProof/>
                <w:lang w:eastAsia="en-GB"/>
              </w:rPr>
              <w:drawing>
                <wp:inline distT="0" distB="0" distL="0" distR="0" wp14:anchorId="494C686C" wp14:editId="520E2778">
                  <wp:extent cx="2473200" cy="594000"/>
                  <wp:effectExtent l="0" t="0" r="3810" b="0"/>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3200" cy="594000"/>
                          </a:xfrm>
                          <a:prstGeom prst="rect">
                            <a:avLst/>
                          </a:prstGeom>
                        </pic:spPr>
                      </pic:pic>
                    </a:graphicData>
                  </a:graphic>
                </wp:inline>
              </w:drawing>
            </w:r>
          </w:p>
        </w:tc>
        <w:tc>
          <w:tcPr>
            <w:tcW w:w="5341" w:type="dxa"/>
          </w:tcPr>
          <w:p w14:paraId="51DBFDAB" w14:textId="20764B1C" w:rsidR="00A27C68" w:rsidRDefault="00A27C68" w:rsidP="00A27C68">
            <w:pPr>
              <w:jc w:val="right"/>
              <w:rPr>
                <w:noProof/>
                <w:lang w:eastAsia="en-GB"/>
              </w:rPr>
            </w:pPr>
            <w:r>
              <w:rPr>
                <w:rFonts w:eastAsia="Times New Roman" w:cs="Arial"/>
                <w:b/>
                <w:noProof/>
                <w:sz w:val="28"/>
                <w:szCs w:val="28"/>
              </w:rPr>
              <w:drawing>
                <wp:inline distT="0" distB="0" distL="0" distR="0" wp14:anchorId="752C3FEB" wp14:editId="040D1318">
                  <wp:extent cx="1656000" cy="594000"/>
                  <wp:effectExtent l="0" t="0" r="1905" b="0"/>
                  <wp:docPr id="3" name="Picture 3"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6000" cy="594000"/>
                          </a:xfrm>
                          <a:prstGeom prst="rect">
                            <a:avLst/>
                          </a:prstGeom>
                        </pic:spPr>
                      </pic:pic>
                    </a:graphicData>
                  </a:graphic>
                </wp:inline>
              </w:drawing>
            </w:r>
          </w:p>
        </w:tc>
      </w:tr>
    </w:tbl>
    <w:p w14:paraId="6F16EDEA" w14:textId="1907FD0E" w:rsidR="00D9530F" w:rsidRDefault="00D9530F" w:rsidP="00A27C68">
      <w:pPr>
        <w:rPr>
          <w:noProof/>
          <w:lang w:eastAsia="en-GB"/>
        </w:rPr>
      </w:pPr>
    </w:p>
    <w:p w14:paraId="2A6D1CD8" w14:textId="5F44C5E5" w:rsidR="00A27C68" w:rsidRPr="00A33E9E" w:rsidRDefault="00A27C68" w:rsidP="009C2029">
      <w:pPr>
        <w:jc w:val="right"/>
        <w:rPr>
          <w:rFonts w:eastAsia="Times New Roman" w:cs="Arial"/>
          <w:b/>
          <w:kern w:val="28"/>
          <w:sz w:val="24"/>
          <w:szCs w:val="24"/>
        </w:rPr>
      </w:pPr>
      <w:r w:rsidRPr="00A33E9E">
        <w:rPr>
          <w:rFonts w:eastAsia="Times New Roman" w:cs="Arial"/>
          <w:b/>
          <w:sz w:val="24"/>
          <w:szCs w:val="24"/>
        </w:rPr>
        <w:t xml:space="preserve">Agenda Item </w:t>
      </w:r>
      <w:r w:rsidR="00A012D6">
        <w:rPr>
          <w:rFonts w:eastAsia="Times New Roman" w:cs="Arial"/>
          <w:b/>
          <w:sz w:val="24"/>
          <w:szCs w:val="24"/>
        </w:rPr>
        <w:t>X</w:t>
      </w:r>
    </w:p>
    <w:p w14:paraId="72E69F9D" w14:textId="77777777" w:rsidR="00A27C68" w:rsidRPr="00A33E9E" w:rsidRDefault="00A27C68" w:rsidP="007A37C7">
      <w:pPr>
        <w:jc w:val="center"/>
        <w:rPr>
          <w:rFonts w:eastAsia="Times New Roman" w:cs="Arial"/>
          <w:b/>
          <w:kern w:val="28"/>
          <w:sz w:val="24"/>
          <w:szCs w:val="24"/>
        </w:rPr>
      </w:pPr>
    </w:p>
    <w:p w14:paraId="30E76731" w14:textId="4C0D651D" w:rsidR="0014611E" w:rsidRPr="00F14229" w:rsidRDefault="00F14229" w:rsidP="00126C01">
      <w:pPr>
        <w:jc w:val="center"/>
        <w:rPr>
          <w:b/>
          <w:bCs/>
          <w:sz w:val="28"/>
          <w:szCs w:val="28"/>
        </w:rPr>
      </w:pPr>
      <w:r w:rsidRPr="00F14229">
        <w:rPr>
          <w:b/>
          <w:bCs/>
          <w:sz w:val="28"/>
          <w:szCs w:val="28"/>
        </w:rPr>
        <w:t xml:space="preserve">NHS Gloucestershire </w:t>
      </w:r>
      <w:r w:rsidR="0011511C" w:rsidRPr="00F14229">
        <w:rPr>
          <w:b/>
          <w:bCs/>
          <w:sz w:val="28"/>
          <w:szCs w:val="28"/>
        </w:rPr>
        <w:t xml:space="preserve">ICB </w:t>
      </w:r>
      <w:r w:rsidR="0014611E" w:rsidRPr="00F14229">
        <w:rPr>
          <w:b/>
          <w:bCs/>
          <w:sz w:val="28"/>
          <w:szCs w:val="28"/>
        </w:rPr>
        <w:t>Board</w:t>
      </w:r>
      <w:r>
        <w:rPr>
          <w:b/>
          <w:bCs/>
          <w:sz w:val="28"/>
          <w:szCs w:val="28"/>
        </w:rPr>
        <w:t xml:space="preserve"> (</w:t>
      </w:r>
      <w:r w:rsidRPr="00F14229">
        <w:rPr>
          <w:b/>
          <w:bCs/>
          <w:sz w:val="28"/>
          <w:szCs w:val="28"/>
        </w:rPr>
        <w:t>Public Session</w:t>
      </w:r>
      <w:r>
        <w:rPr>
          <w:b/>
          <w:bCs/>
          <w:sz w:val="28"/>
          <w:szCs w:val="28"/>
        </w:rPr>
        <w:t>)</w:t>
      </w:r>
    </w:p>
    <w:p w14:paraId="386E7F7E" w14:textId="51205664" w:rsidR="0014611E" w:rsidRDefault="00F14229" w:rsidP="00126C01">
      <w:pPr>
        <w:jc w:val="center"/>
        <w:rPr>
          <w:sz w:val="24"/>
          <w:szCs w:val="24"/>
        </w:rPr>
      </w:pPr>
      <w:r w:rsidRPr="00126C01">
        <w:rPr>
          <w:sz w:val="24"/>
          <w:szCs w:val="24"/>
        </w:rPr>
        <w:t>Wednesday 29</w:t>
      </w:r>
      <w:r w:rsidRPr="00126C01">
        <w:rPr>
          <w:sz w:val="24"/>
          <w:szCs w:val="24"/>
          <w:vertAlign w:val="superscript"/>
        </w:rPr>
        <w:t>th</w:t>
      </w:r>
      <w:r w:rsidRPr="00126C01">
        <w:rPr>
          <w:sz w:val="24"/>
          <w:szCs w:val="24"/>
        </w:rPr>
        <w:t xml:space="preserve"> March 2023</w:t>
      </w:r>
    </w:p>
    <w:tbl>
      <w:tblPr>
        <w:tblStyle w:val="TableGrid"/>
        <w:tblW w:w="10778" w:type="dxa"/>
        <w:tblLook w:val="04A0" w:firstRow="1" w:lastRow="0" w:firstColumn="1" w:lastColumn="0" w:noHBand="0" w:noVBand="1"/>
      </w:tblPr>
      <w:tblGrid>
        <w:gridCol w:w="2455"/>
        <w:gridCol w:w="1951"/>
        <w:gridCol w:w="589"/>
        <w:gridCol w:w="337"/>
        <w:gridCol w:w="1404"/>
        <w:gridCol w:w="188"/>
        <w:gridCol w:w="1269"/>
        <w:gridCol w:w="248"/>
        <w:gridCol w:w="1754"/>
        <w:gridCol w:w="545"/>
        <w:gridCol w:w="38"/>
      </w:tblGrid>
      <w:tr w:rsidR="00EE633D" w:rsidRPr="0034654F" w14:paraId="4F1C61FB" w14:textId="77777777" w:rsidTr="0082442F">
        <w:trPr>
          <w:gridAfter w:val="1"/>
          <w:wAfter w:w="38" w:type="dxa"/>
          <w:cantSplit/>
        </w:trPr>
        <w:tc>
          <w:tcPr>
            <w:tcW w:w="2455" w:type="dxa"/>
            <w:shd w:val="clear" w:color="auto" w:fill="F2F2F2" w:themeFill="background1" w:themeFillShade="F2"/>
          </w:tcPr>
          <w:p w14:paraId="235F598F" w14:textId="77777777" w:rsidR="00EE633D" w:rsidRPr="0034654F" w:rsidRDefault="00EE633D" w:rsidP="00F442C2">
            <w:pPr>
              <w:rPr>
                <w:rFonts w:cs="Arial"/>
              </w:rPr>
            </w:pPr>
            <w:r w:rsidRPr="0034654F">
              <w:rPr>
                <w:rFonts w:eastAsia="Times New Roman" w:cs="Arial"/>
                <w:b/>
              </w:rPr>
              <w:t xml:space="preserve">Report Title </w:t>
            </w:r>
          </w:p>
        </w:tc>
        <w:tc>
          <w:tcPr>
            <w:tcW w:w="8285" w:type="dxa"/>
            <w:gridSpan w:val="9"/>
          </w:tcPr>
          <w:p w14:paraId="1BFB87E3" w14:textId="60CAE87E" w:rsidR="00EE633D" w:rsidRPr="00F14229" w:rsidRDefault="00F86108" w:rsidP="00F442C2">
            <w:pPr>
              <w:rPr>
                <w:rFonts w:eastAsia="Times New Roman" w:cs="Arial"/>
                <w:b/>
                <w:sz w:val="24"/>
                <w:szCs w:val="24"/>
              </w:rPr>
            </w:pPr>
            <w:r>
              <w:rPr>
                <w:rFonts w:eastAsia="Times New Roman" w:cs="Arial"/>
                <w:b/>
                <w:sz w:val="24"/>
                <w:szCs w:val="24"/>
              </w:rPr>
              <w:t>Board Assurance Framework</w:t>
            </w:r>
          </w:p>
          <w:p w14:paraId="1B98C724" w14:textId="77777777" w:rsidR="00EE633D" w:rsidRPr="0034654F" w:rsidRDefault="00EE633D" w:rsidP="00F442C2">
            <w:pPr>
              <w:rPr>
                <w:rFonts w:cs="Arial"/>
              </w:rPr>
            </w:pPr>
          </w:p>
        </w:tc>
      </w:tr>
      <w:tr w:rsidR="000C6E3A" w:rsidRPr="0034654F" w14:paraId="365CB3E7" w14:textId="77777777" w:rsidTr="0082442F">
        <w:trPr>
          <w:cantSplit/>
          <w:trHeight w:val="288"/>
        </w:trPr>
        <w:tc>
          <w:tcPr>
            <w:tcW w:w="2455" w:type="dxa"/>
            <w:vMerge w:val="restart"/>
            <w:shd w:val="clear" w:color="auto" w:fill="F2F2F2" w:themeFill="background1" w:themeFillShade="F2"/>
          </w:tcPr>
          <w:p w14:paraId="08203E0B" w14:textId="00B04399" w:rsidR="006C6A74" w:rsidRDefault="006C6A74" w:rsidP="00F442C2">
            <w:pPr>
              <w:rPr>
                <w:rFonts w:eastAsia="Times New Roman" w:cs="Arial"/>
                <w:b/>
              </w:rPr>
            </w:pPr>
            <w:r>
              <w:rPr>
                <w:rFonts w:eastAsia="Times New Roman" w:cs="Arial"/>
                <w:b/>
              </w:rPr>
              <w:t>Purpose (X)</w:t>
            </w:r>
          </w:p>
          <w:p w14:paraId="7D358688" w14:textId="4B9AAE5F" w:rsidR="006C6A74" w:rsidRPr="0034654F" w:rsidRDefault="006C6A74" w:rsidP="00F442C2">
            <w:pPr>
              <w:rPr>
                <w:rFonts w:eastAsia="Times New Roman" w:cs="Arial"/>
                <w:b/>
              </w:rPr>
            </w:pPr>
          </w:p>
        </w:tc>
        <w:tc>
          <w:tcPr>
            <w:tcW w:w="2540" w:type="dxa"/>
            <w:gridSpan w:val="2"/>
            <w:shd w:val="clear" w:color="auto" w:fill="00B050"/>
          </w:tcPr>
          <w:p w14:paraId="66FFA280" w14:textId="77777777" w:rsidR="006C6A74" w:rsidRPr="000C6E3A" w:rsidRDefault="006C6A74" w:rsidP="006C6A74">
            <w:pPr>
              <w:jc w:val="center"/>
              <w:rPr>
                <w:rFonts w:eastAsia="Times New Roman" w:cs="Arial"/>
                <w:b/>
                <w:color w:val="FFFFFF" w:themeColor="background1"/>
              </w:rPr>
            </w:pPr>
            <w:r w:rsidRPr="000C6E3A">
              <w:rPr>
                <w:rFonts w:eastAsia="Times New Roman" w:cs="Arial"/>
                <w:b/>
                <w:color w:val="FFFFFF" w:themeColor="background1"/>
              </w:rPr>
              <w:t>For Information</w:t>
            </w:r>
          </w:p>
        </w:tc>
        <w:tc>
          <w:tcPr>
            <w:tcW w:w="337" w:type="dxa"/>
            <w:tcBorders>
              <w:bottom w:val="nil"/>
            </w:tcBorders>
            <w:tcMar>
              <w:left w:w="57" w:type="dxa"/>
              <w:right w:w="57" w:type="dxa"/>
            </w:tcMar>
          </w:tcPr>
          <w:p w14:paraId="50C4133E" w14:textId="2CD79F1B" w:rsidR="006C6A74" w:rsidRPr="0034654F" w:rsidRDefault="006C6A74" w:rsidP="006C6A74">
            <w:pPr>
              <w:jc w:val="center"/>
              <w:rPr>
                <w:rFonts w:eastAsia="Times New Roman" w:cs="Arial"/>
                <w:b/>
              </w:rPr>
            </w:pPr>
          </w:p>
        </w:tc>
        <w:tc>
          <w:tcPr>
            <w:tcW w:w="2861" w:type="dxa"/>
            <w:gridSpan w:val="3"/>
            <w:shd w:val="clear" w:color="auto" w:fill="FFC000"/>
          </w:tcPr>
          <w:p w14:paraId="368D9FD3" w14:textId="77777777" w:rsidR="006C6A74" w:rsidRPr="0034654F" w:rsidRDefault="006C6A74" w:rsidP="006C6A74">
            <w:pPr>
              <w:jc w:val="center"/>
              <w:rPr>
                <w:rFonts w:eastAsia="Times New Roman" w:cs="Arial"/>
                <w:b/>
              </w:rPr>
            </w:pPr>
            <w:r>
              <w:rPr>
                <w:rFonts w:eastAsia="Times New Roman" w:cs="Arial"/>
                <w:b/>
              </w:rPr>
              <w:t>For Discussion</w:t>
            </w:r>
          </w:p>
        </w:tc>
        <w:tc>
          <w:tcPr>
            <w:tcW w:w="248" w:type="dxa"/>
            <w:tcBorders>
              <w:bottom w:val="nil"/>
            </w:tcBorders>
            <w:tcMar>
              <w:left w:w="57" w:type="dxa"/>
              <w:right w:w="57" w:type="dxa"/>
            </w:tcMar>
          </w:tcPr>
          <w:p w14:paraId="0D22FFAD" w14:textId="748BE99A" w:rsidR="006C6A74" w:rsidRPr="0034654F" w:rsidRDefault="006C6A74" w:rsidP="006C6A74">
            <w:pPr>
              <w:jc w:val="center"/>
              <w:rPr>
                <w:rFonts w:eastAsia="Times New Roman" w:cs="Arial"/>
                <w:b/>
              </w:rPr>
            </w:pPr>
          </w:p>
        </w:tc>
        <w:tc>
          <w:tcPr>
            <w:tcW w:w="2337" w:type="dxa"/>
            <w:gridSpan w:val="3"/>
            <w:shd w:val="clear" w:color="auto" w:fill="FF0000"/>
          </w:tcPr>
          <w:p w14:paraId="09770738" w14:textId="5ACAE130" w:rsidR="006C6A74" w:rsidRPr="000C6E3A" w:rsidRDefault="006C6A74" w:rsidP="006C6A74">
            <w:pPr>
              <w:jc w:val="center"/>
              <w:rPr>
                <w:rFonts w:eastAsia="Times New Roman" w:cs="Arial"/>
                <w:b/>
                <w:color w:val="FFFFFF" w:themeColor="background1"/>
              </w:rPr>
            </w:pPr>
            <w:r w:rsidRPr="000C6E3A">
              <w:rPr>
                <w:rFonts w:eastAsia="Times New Roman" w:cs="Arial"/>
                <w:b/>
                <w:color w:val="FFFFFF" w:themeColor="background1"/>
              </w:rPr>
              <w:t>For Decision</w:t>
            </w:r>
          </w:p>
        </w:tc>
      </w:tr>
      <w:tr w:rsidR="00287900" w:rsidRPr="0034654F" w14:paraId="53B49E6D" w14:textId="77777777" w:rsidTr="0082442F">
        <w:trPr>
          <w:cantSplit/>
          <w:trHeight w:val="288"/>
        </w:trPr>
        <w:tc>
          <w:tcPr>
            <w:tcW w:w="2455" w:type="dxa"/>
            <w:vMerge/>
            <w:shd w:val="clear" w:color="auto" w:fill="F2F2F2" w:themeFill="background1" w:themeFillShade="F2"/>
          </w:tcPr>
          <w:p w14:paraId="63E6DCF3" w14:textId="77777777" w:rsidR="006C6A74" w:rsidRDefault="006C6A74" w:rsidP="00F442C2">
            <w:pPr>
              <w:rPr>
                <w:rFonts w:eastAsia="Times New Roman" w:cs="Arial"/>
                <w:b/>
              </w:rPr>
            </w:pPr>
          </w:p>
        </w:tc>
        <w:tc>
          <w:tcPr>
            <w:tcW w:w="2540" w:type="dxa"/>
            <w:gridSpan w:val="2"/>
            <w:shd w:val="clear" w:color="auto" w:fill="C5FFDF"/>
          </w:tcPr>
          <w:p w14:paraId="70B62411" w14:textId="1D386510" w:rsidR="006C6A74" w:rsidRPr="0034654F" w:rsidRDefault="006C6A74" w:rsidP="00F86108">
            <w:pPr>
              <w:jc w:val="center"/>
              <w:rPr>
                <w:rFonts w:eastAsia="Times New Roman" w:cs="Arial"/>
                <w:b/>
              </w:rPr>
            </w:pPr>
          </w:p>
        </w:tc>
        <w:tc>
          <w:tcPr>
            <w:tcW w:w="337" w:type="dxa"/>
            <w:tcBorders>
              <w:top w:val="nil"/>
            </w:tcBorders>
            <w:tcMar>
              <w:left w:w="57" w:type="dxa"/>
              <w:right w:w="57" w:type="dxa"/>
            </w:tcMar>
          </w:tcPr>
          <w:p w14:paraId="164C5AA1" w14:textId="7C3DFA3E" w:rsidR="006C6A74" w:rsidRPr="0034654F" w:rsidRDefault="006C6A74" w:rsidP="00F442C2">
            <w:pPr>
              <w:rPr>
                <w:rFonts w:eastAsia="Times New Roman" w:cs="Arial"/>
                <w:b/>
              </w:rPr>
            </w:pPr>
          </w:p>
        </w:tc>
        <w:tc>
          <w:tcPr>
            <w:tcW w:w="2861" w:type="dxa"/>
            <w:gridSpan w:val="3"/>
            <w:shd w:val="clear" w:color="auto" w:fill="FFF3CD"/>
          </w:tcPr>
          <w:p w14:paraId="65D78BA8" w14:textId="28BE9F80" w:rsidR="006C6A74" w:rsidRPr="0034654F" w:rsidRDefault="006C6A74" w:rsidP="00BE6B9A">
            <w:pPr>
              <w:jc w:val="center"/>
              <w:rPr>
                <w:rFonts w:eastAsia="Times New Roman" w:cs="Arial"/>
                <w:b/>
              </w:rPr>
            </w:pPr>
          </w:p>
        </w:tc>
        <w:tc>
          <w:tcPr>
            <w:tcW w:w="248" w:type="dxa"/>
            <w:tcBorders>
              <w:top w:val="nil"/>
            </w:tcBorders>
            <w:tcMar>
              <w:left w:w="57" w:type="dxa"/>
              <w:right w:w="57" w:type="dxa"/>
            </w:tcMar>
          </w:tcPr>
          <w:p w14:paraId="0A3D9CF8" w14:textId="5FF8C62D" w:rsidR="006C6A74" w:rsidRPr="0034654F" w:rsidRDefault="006C6A74" w:rsidP="00F442C2">
            <w:pPr>
              <w:rPr>
                <w:rFonts w:eastAsia="Times New Roman" w:cs="Arial"/>
                <w:b/>
              </w:rPr>
            </w:pPr>
          </w:p>
        </w:tc>
        <w:tc>
          <w:tcPr>
            <w:tcW w:w="2337" w:type="dxa"/>
            <w:gridSpan w:val="3"/>
            <w:shd w:val="clear" w:color="auto" w:fill="FFCDCD"/>
          </w:tcPr>
          <w:p w14:paraId="2AB743E6" w14:textId="640B368B" w:rsidR="006C6A74" w:rsidRPr="0034654F" w:rsidRDefault="00A012D6" w:rsidP="00BE6B9A">
            <w:pPr>
              <w:jc w:val="center"/>
              <w:rPr>
                <w:rFonts w:eastAsia="Times New Roman" w:cs="Arial"/>
                <w:b/>
              </w:rPr>
            </w:pPr>
            <w:r>
              <w:rPr>
                <w:rFonts w:eastAsia="Times New Roman" w:cs="Arial"/>
                <w:b/>
              </w:rPr>
              <w:t>X</w:t>
            </w:r>
          </w:p>
        </w:tc>
      </w:tr>
      <w:tr w:rsidR="00EE633D" w:rsidRPr="0034654F" w14:paraId="1B5D8106" w14:textId="77777777" w:rsidTr="0082442F">
        <w:trPr>
          <w:gridAfter w:val="1"/>
          <w:wAfter w:w="38" w:type="dxa"/>
          <w:cantSplit/>
          <w:trHeight w:val="275"/>
        </w:trPr>
        <w:tc>
          <w:tcPr>
            <w:tcW w:w="2455" w:type="dxa"/>
            <w:vMerge w:val="restart"/>
            <w:shd w:val="clear" w:color="auto" w:fill="F2F2F2" w:themeFill="background1" w:themeFillShade="F2"/>
          </w:tcPr>
          <w:p w14:paraId="6E741734" w14:textId="4589DA57" w:rsidR="00EE633D" w:rsidRPr="0034654F" w:rsidRDefault="00EE633D" w:rsidP="00F442C2">
            <w:pPr>
              <w:rPr>
                <w:rFonts w:eastAsia="Times New Roman" w:cs="Arial"/>
                <w:b/>
              </w:rPr>
            </w:pPr>
            <w:r w:rsidRPr="0034654F">
              <w:rPr>
                <w:rFonts w:eastAsia="Times New Roman" w:cs="Arial"/>
                <w:b/>
              </w:rPr>
              <w:t>Route to this meeting</w:t>
            </w:r>
          </w:p>
        </w:tc>
        <w:tc>
          <w:tcPr>
            <w:tcW w:w="8285" w:type="dxa"/>
            <w:gridSpan w:val="9"/>
          </w:tcPr>
          <w:p w14:paraId="76AB0EA3" w14:textId="374D9765" w:rsidR="00EE633D" w:rsidRPr="0034654F" w:rsidRDefault="00EE633D" w:rsidP="00F14229">
            <w:pPr>
              <w:spacing w:line="240" w:lineRule="auto"/>
              <w:jc w:val="both"/>
              <w:rPr>
                <w:rFonts w:eastAsia="Times New Roman" w:cs="Arial"/>
              </w:rPr>
            </w:pPr>
          </w:p>
        </w:tc>
      </w:tr>
      <w:tr w:rsidR="0082442F" w:rsidRPr="0034654F" w14:paraId="6CD56148" w14:textId="77777777" w:rsidTr="00100F40">
        <w:trPr>
          <w:gridAfter w:val="1"/>
          <w:wAfter w:w="38" w:type="dxa"/>
          <w:cantSplit/>
          <w:trHeight w:val="275"/>
        </w:trPr>
        <w:tc>
          <w:tcPr>
            <w:tcW w:w="2455" w:type="dxa"/>
            <w:vMerge/>
            <w:shd w:val="clear" w:color="auto" w:fill="F2F2F2" w:themeFill="background1" w:themeFillShade="F2"/>
          </w:tcPr>
          <w:p w14:paraId="045176F7" w14:textId="77777777" w:rsidR="0082442F" w:rsidRPr="0034654F" w:rsidRDefault="0082442F" w:rsidP="00F442C2">
            <w:pPr>
              <w:rPr>
                <w:rFonts w:eastAsia="Times New Roman" w:cs="Arial"/>
                <w:b/>
              </w:rPr>
            </w:pPr>
          </w:p>
        </w:tc>
        <w:tc>
          <w:tcPr>
            <w:tcW w:w="4469" w:type="dxa"/>
            <w:gridSpan w:val="5"/>
            <w:tcBorders>
              <w:bottom w:val="dotted" w:sz="4" w:space="0" w:color="auto"/>
            </w:tcBorders>
            <w:shd w:val="clear" w:color="auto" w:fill="F2F2F2" w:themeFill="background1" w:themeFillShade="F2"/>
          </w:tcPr>
          <w:p w14:paraId="3F942BA6" w14:textId="013C7B81" w:rsidR="0082442F" w:rsidRPr="0034654F" w:rsidRDefault="0082442F" w:rsidP="00EE633D">
            <w:pPr>
              <w:jc w:val="center"/>
              <w:rPr>
                <w:rFonts w:eastAsia="Times New Roman" w:cs="Arial"/>
                <w:b/>
                <w:bCs/>
              </w:rPr>
            </w:pPr>
            <w:r w:rsidRPr="0034654F">
              <w:rPr>
                <w:rFonts w:eastAsia="Times New Roman" w:cs="Arial"/>
                <w:b/>
                <w:bCs/>
              </w:rPr>
              <w:t>ICB</w:t>
            </w:r>
            <w:r>
              <w:rPr>
                <w:rFonts w:eastAsia="Times New Roman" w:cs="Arial"/>
                <w:b/>
                <w:bCs/>
              </w:rPr>
              <w:t>, ICS</w:t>
            </w:r>
            <w:r w:rsidRPr="0034654F">
              <w:rPr>
                <w:rFonts w:eastAsia="Times New Roman" w:cs="Arial"/>
                <w:b/>
                <w:bCs/>
              </w:rPr>
              <w:t xml:space="preserve"> </w:t>
            </w:r>
            <w:r>
              <w:rPr>
                <w:rFonts w:eastAsia="Times New Roman" w:cs="Arial"/>
                <w:b/>
                <w:bCs/>
              </w:rPr>
              <w:t>&amp; Partners</w:t>
            </w:r>
          </w:p>
        </w:tc>
        <w:tc>
          <w:tcPr>
            <w:tcW w:w="3816" w:type="dxa"/>
            <w:gridSpan w:val="4"/>
            <w:tcBorders>
              <w:bottom w:val="dotted" w:sz="4" w:space="0" w:color="auto"/>
            </w:tcBorders>
            <w:shd w:val="clear" w:color="auto" w:fill="F2F2F2" w:themeFill="background1" w:themeFillShade="F2"/>
          </w:tcPr>
          <w:p w14:paraId="444D8433" w14:textId="2966C414" w:rsidR="0082442F" w:rsidRPr="0034654F" w:rsidRDefault="0082442F" w:rsidP="00EE633D">
            <w:pPr>
              <w:jc w:val="center"/>
              <w:rPr>
                <w:rFonts w:eastAsia="Times New Roman" w:cs="Arial"/>
                <w:b/>
                <w:bCs/>
              </w:rPr>
            </w:pPr>
            <w:r w:rsidRPr="0034654F">
              <w:rPr>
                <w:rFonts w:eastAsia="Times New Roman" w:cs="Arial"/>
                <w:b/>
                <w:bCs/>
              </w:rPr>
              <w:t>Date</w:t>
            </w:r>
          </w:p>
        </w:tc>
      </w:tr>
      <w:tr w:rsidR="0082442F" w:rsidRPr="0034654F" w14:paraId="733A38F2" w14:textId="77777777" w:rsidTr="000A7620">
        <w:trPr>
          <w:gridAfter w:val="1"/>
          <w:wAfter w:w="38" w:type="dxa"/>
          <w:cantSplit/>
          <w:trHeight w:val="275"/>
        </w:trPr>
        <w:tc>
          <w:tcPr>
            <w:tcW w:w="2455" w:type="dxa"/>
            <w:vMerge/>
            <w:shd w:val="clear" w:color="auto" w:fill="F2F2F2" w:themeFill="background1" w:themeFillShade="F2"/>
          </w:tcPr>
          <w:p w14:paraId="5101EF4E" w14:textId="77777777" w:rsidR="0082442F" w:rsidRPr="0034654F" w:rsidRDefault="0082442F" w:rsidP="00F442C2">
            <w:pPr>
              <w:rPr>
                <w:rFonts w:eastAsia="Times New Roman" w:cs="Arial"/>
                <w:b/>
              </w:rPr>
            </w:pPr>
          </w:p>
        </w:tc>
        <w:tc>
          <w:tcPr>
            <w:tcW w:w="4469" w:type="dxa"/>
            <w:gridSpan w:val="5"/>
            <w:tcBorders>
              <w:top w:val="dotted" w:sz="4" w:space="0" w:color="auto"/>
            </w:tcBorders>
          </w:tcPr>
          <w:p w14:paraId="456FC13E" w14:textId="0D60E415" w:rsidR="0082442F" w:rsidRPr="0034654F" w:rsidRDefault="00A012D6" w:rsidP="0082442F">
            <w:pPr>
              <w:rPr>
                <w:rFonts w:eastAsia="Times New Roman" w:cs="Arial"/>
              </w:rPr>
            </w:pPr>
            <w:r>
              <w:rPr>
                <w:rFonts w:eastAsia="Times New Roman" w:cs="Arial"/>
              </w:rPr>
              <w:t>Updates on the financial plan have been presented to various meetings throughout January to March: ICB Operational Execs, ICS Strategic Execs, NED network</w:t>
            </w:r>
          </w:p>
        </w:tc>
        <w:tc>
          <w:tcPr>
            <w:tcW w:w="3816" w:type="dxa"/>
            <w:gridSpan w:val="4"/>
            <w:tcBorders>
              <w:top w:val="dotted" w:sz="4" w:space="0" w:color="auto"/>
            </w:tcBorders>
          </w:tcPr>
          <w:p w14:paraId="52466FC2" w14:textId="5C976F99" w:rsidR="0082442F" w:rsidRPr="0034654F" w:rsidRDefault="00A012D6" w:rsidP="00EE633D">
            <w:pPr>
              <w:jc w:val="center"/>
              <w:rPr>
                <w:rFonts w:eastAsia="Times New Roman" w:cs="Arial"/>
              </w:rPr>
            </w:pPr>
            <w:r>
              <w:rPr>
                <w:rFonts w:eastAsia="Times New Roman" w:cs="Arial"/>
              </w:rPr>
              <w:t>Various through January to December 2023</w:t>
            </w:r>
          </w:p>
        </w:tc>
      </w:tr>
      <w:tr w:rsidR="00EE633D" w:rsidRPr="0034654F" w14:paraId="201E0CE2" w14:textId="77777777" w:rsidTr="0082442F">
        <w:trPr>
          <w:gridAfter w:val="1"/>
          <w:wAfter w:w="38" w:type="dxa"/>
          <w:cantSplit/>
        </w:trPr>
        <w:tc>
          <w:tcPr>
            <w:tcW w:w="2455" w:type="dxa"/>
            <w:shd w:val="clear" w:color="auto" w:fill="F2F2F2" w:themeFill="background1" w:themeFillShade="F2"/>
          </w:tcPr>
          <w:p w14:paraId="0EE7B2FA" w14:textId="77777777" w:rsidR="00EE633D" w:rsidRPr="0034654F" w:rsidRDefault="00EE633D" w:rsidP="00F442C2">
            <w:pPr>
              <w:rPr>
                <w:rFonts w:cs="Arial"/>
              </w:rPr>
            </w:pPr>
            <w:r w:rsidRPr="0034654F">
              <w:rPr>
                <w:rFonts w:eastAsia="Times New Roman" w:cs="Arial"/>
                <w:b/>
              </w:rPr>
              <w:t>Executive Summary</w:t>
            </w:r>
          </w:p>
        </w:tc>
        <w:tc>
          <w:tcPr>
            <w:tcW w:w="8285" w:type="dxa"/>
            <w:gridSpan w:val="9"/>
          </w:tcPr>
          <w:p w14:paraId="32447D14" w14:textId="55DF2891" w:rsidR="00A012D6" w:rsidRDefault="00A012D6" w:rsidP="00A33E9E">
            <w:pPr>
              <w:pStyle w:val="text"/>
              <w:spacing w:before="40" w:after="40"/>
              <w:jc w:val="both"/>
              <w:rPr>
                <w:rFonts w:ascii="Arial" w:eastAsia="Times New Roman" w:hAnsi="Arial"/>
                <w:color w:val="auto"/>
                <w:sz w:val="22"/>
                <w:szCs w:val="22"/>
              </w:rPr>
            </w:pPr>
            <w:r>
              <w:rPr>
                <w:rFonts w:ascii="Arial" w:eastAsia="Times New Roman" w:hAnsi="Arial"/>
                <w:color w:val="auto"/>
                <w:sz w:val="22"/>
                <w:szCs w:val="22"/>
              </w:rPr>
              <w:t>This paper cover</w:t>
            </w:r>
            <w:r w:rsidR="002B19B9">
              <w:rPr>
                <w:rFonts w:ascii="Arial" w:eastAsia="Times New Roman" w:hAnsi="Arial"/>
                <w:color w:val="auto"/>
                <w:sz w:val="22"/>
                <w:szCs w:val="22"/>
              </w:rPr>
              <w:t>s</w:t>
            </w:r>
            <w:r>
              <w:rPr>
                <w:rFonts w:ascii="Arial" w:eastAsia="Times New Roman" w:hAnsi="Arial"/>
                <w:color w:val="auto"/>
                <w:sz w:val="22"/>
                <w:szCs w:val="22"/>
              </w:rPr>
              <w:t xml:space="preserve"> the proposed 2023/24 budget</w:t>
            </w:r>
            <w:r w:rsidR="00AE1E07">
              <w:rPr>
                <w:rFonts w:ascii="Arial" w:eastAsia="Times New Roman" w:hAnsi="Arial"/>
                <w:color w:val="auto"/>
                <w:sz w:val="22"/>
                <w:szCs w:val="22"/>
              </w:rPr>
              <w:t>.</w:t>
            </w:r>
          </w:p>
          <w:p w14:paraId="6D24286D" w14:textId="77777777" w:rsidR="002B19B9" w:rsidRDefault="002B19B9" w:rsidP="00A33E9E">
            <w:pPr>
              <w:pStyle w:val="text"/>
              <w:spacing w:before="40" w:after="40"/>
              <w:jc w:val="both"/>
              <w:rPr>
                <w:rFonts w:ascii="Arial" w:eastAsia="Times New Roman" w:hAnsi="Arial"/>
                <w:color w:val="auto"/>
                <w:sz w:val="22"/>
                <w:szCs w:val="22"/>
              </w:rPr>
            </w:pPr>
          </w:p>
          <w:p w14:paraId="46EAEF44" w14:textId="4E0D15A6" w:rsidR="00A012D6" w:rsidRDefault="00A012D6" w:rsidP="00A012D6">
            <w:pPr>
              <w:tabs>
                <w:tab w:val="left" w:pos="8080"/>
              </w:tabs>
              <w:jc w:val="both"/>
              <w:rPr>
                <w:rFonts w:cs="Arial"/>
                <w:lang w:val="en-US"/>
              </w:rPr>
            </w:pPr>
            <w:r w:rsidRPr="00A012D6">
              <w:rPr>
                <w:rFonts w:cs="Arial"/>
                <w:lang w:val="en-US"/>
              </w:rPr>
              <w:t xml:space="preserve">The </w:t>
            </w:r>
            <w:r>
              <w:rPr>
                <w:rFonts w:cs="Arial"/>
                <w:lang w:val="en-US"/>
              </w:rPr>
              <w:t>ICB</w:t>
            </w:r>
            <w:r w:rsidRPr="00A012D6">
              <w:rPr>
                <w:rFonts w:cs="Arial"/>
                <w:lang w:val="en-US"/>
              </w:rPr>
              <w:t xml:space="preserve"> submitted a draft plan to NHS England as part of a wider system plan on the </w:t>
            </w:r>
            <w:proofErr w:type="gramStart"/>
            <w:r w:rsidR="0071245A">
              <w:rPr>
                <w:rFonts w:cs="Arial"/>
                <w:lang w:val="en-US"/>
              </w:rPr>
              <w:t>23</w:t>
            </w:r>
            <w:r w:rsidR="0071245A" w:rsidRPr="0071245A">
              <w:rPr>
                <w:rFonts w:cs="Arial"/>
                <w:vertAlign w:val="superscript"/>
                <w:lang w:val="en-US"/>
              </w:rPr>
              <w:t>rd</w:t>
            </w:r>
            <w:proofErr w:type="gramEnd"/>
            <w:r w:rsidR="0071245A">
              <w:rPr>
                <w:rFonts w:cs="Arial"/>
                <w:lang w:val="en-US"/>
              </w:rPr>
              <w:t xml:space="preserve"> February</w:t>
            </w:r>
            <w:r w:rsidRPr="00A012D6">
              <w:rPr>
                <w:rFonts w:cs="Arial"/>
                <w:lang w:val="en-US"/>
              </w:rPr>
              <w:t xml:space="preserve">, </w:t>
            </w:r>
            <w:r w:rsidR="0071245A">
              <w:rPr>
                <w:rFonts w:cs="Arial"/>
                <w:lang w:val="en-US"/>
              </w:rPr>
              <w:t xml:space="preserve">this showed a deficit for all </w:t>
            </w:r>
            <w:proofErr w:type="spellStart"/>
            <w:r w:rsidR="0071245A">
              <w:rPr>
                <w:rFonts w:cs="Arial"/>
                <w:lang w:val="en-US"/>
              </w:rPr>
              <w:t>organisations</w:t>
            </w:r>
            <w:proofErr w:type="spellEnd"/>
            <w:r w:rsidR="0071245A">
              <w:rPr>
                <w:rFonts w:cs="Arial"/>
                <w:lang w:val="en-US"/>
              </w:rPr>
              <w:t xml:space="preserve"> within the Gloucestershire system</w:t>
            </w:r>
            <w:r w:rsidRPr="00A012D6">
              <w:rPr>
                <w:rFonts w:cs="Arial"/>
                <w:lang w:val="en-US"/>
              </w:rPr>
              <w:t xml:space="preserve">.  </w:t>
            </w:r>
            <w:r w:rsidR="0071245A">
              <w:rPr>
                <w:rFonts w:cs="Arial"/>
                <w:lang w:val="en-US"/>
              </w:rPr>
              <w:t xml:space="preserve">Further work on the plan within the System has enabled a breakeven plan to be developed within which all Gloucestershire NHS </w:t>
            </w:r>
            <w:proofErr w:type="spellStart"/>
            <w:r w:rsidR="0071245A">
              <w:rPr>
                <w:rFonts w:cs="Arial"/>
                <w:lang w:val="en-US"/>
              </w:rPr>
              <w:t>organisations</w:t>
            </w:r>
            <w:proofErr w:type="spellEnd"/>
            <w:r w:rsidR="0071245A">
              <w:rPr>
                <w:rFonts w:cs="Arial"/>
                <w:lang w:val="en-US"/>
              </w:rPr>
              <w:t xml:space="preserve"> are now able to set a break-even budget.</w:t>
            </w:r>
            <w:r w:rsidRPr="00A012D6">
              <w:rPr>
                <w:rFonts w:cs="Arial"/>
                <w:lang w:val="en-US"/>
              </w:rPr>
              <w:t xml:space="preserve">  </w:t>
            </w:r>
          </w:p>
          <w:p w14:paraId="2E7FF774" w14:textId="7E44EC56" w:rsidR="00B06C5F" w:rsidRDefault="00B06C5F" w:rsidP="00A012D6">
            <w:pPr>
              <w:tabs>
                <w:tab w:val="left" w:pos="8080"/>
              </w:tabs>
              <w:jc w:val="both"/>
              <w:rPr>
                <w:rFonts w:cs="Arial"/>
                <w:lang w:val="en-US"/>
              </w:rPr>
            </w:pPr>
          </w:p>
          <w:p w14:paraId="1835E541" w14:textId="77777777" w:rsidR="002B19B9" w:rsidRDefault="00B06C5F" w:rsidP="00B06C5F">
            <w:pPr>
              <w:tabs>
                <w:tab w:val="left" w:pos="8080"/>
              </w:tabs>
              <w:jc w:val="both"/>
              <w:rPr>
                <w:rFonts w:cs="Arial"/>
                <w:lang w:val="en-US"/>
              </w:rPr>
            </w:pPr>
            <w:r w:rsidRPr="00B06C5F">
              <w:rPr>
                <w:rFonts w:cs="Arial"/>
                <w:lang w:val="en-US"/>
              </w:rPr>
              <w:t xml:space="preserve">Strict financial control and monitoring will need to be maintained during the year within the Gloucestershire NHS System and across all budget areas within the </w:t>
            </w:r>
            <w:r>
              <w:rPr>
                <w:rFonts w:cs="Arial"/>
                <w:lang w:val="en-US"/>
              </w:rPr>
              <w:t>ICB</w:t>
            </w:r>
            <w:r w:rsidRPr="00B06C5F">
              <w:rPr>
                <w:rFonts w:cs="Arial"/>
                <w:lang w:val="en-US"/>
              </w:rPr>
              <w:t xml:space="preserve"> </w:t>
            </w:r>
            <w:proofErr w:type="gramStart"/>
            <w:r w:rsidRPr="00B06C5F">
              <w:rPr>
                <w:rFonts w:cs="Arial"/>
                <w:lang w:val="en-US"/>
              </w:rPr>
              <w:t>in order to</w:t>
            </w:r>
            <w:proofErr w:type="gramEnd"/>
            <w:r w:rsidRPr="00B06C5F">
              <w:rPr>
                <w:rFonts w:cs="Arial"/>
                <w:lang w:val="en-US"/>
              </w:rPr>
              <w:t xml:space="preserve"> deliver the </w:t>
            </w:r>
            <w:r w:rsidR="002B19B9">
              <w:rPr>
                <w:rFonts w:cs="Arial"/>
                <w:lang w:val="en-US"/>
              </w:rPr>
              <w:t>financial plan</w:t>
            </w:r>
            <w:r w:rsidRPr="00B06C5F">
              <w:rPr>
                <w:rFonts w:cs="Arial"/>
                <w:lang w:val="en-US"/>
              </w:rPr>
              <w:t>.</w:t>
            </w:r>
          </w:p>
          <w:p w14:paraId="468968FD" w14:textId="122E606D" w:rsidR="00B06C5F" w:rsidRDefault="00B06C5F" w:rsidP="00B06C5F">
            <w:pPr>
              <w:tabs>
                <w:tab w:val="left" w:pos="8080"/>
              </w:tabs>
              <w:jc w:val="both"/>
              <w:rPr>
                <w:rFonts w:cs="Arial"/>
                <w:lang w:val="en-US"/>
              </w:rPr>
            </w:pPr>
            <w:r w:rsidRPr="00B06C5F">
              <w:rPr>
                <w:rFonts w:cs="Arial"/>
                <w:lang w:val="en-US"/>
              </w:rPr>
              <w:t xml:space="preserve">  </w:t>
            </w:r>
          </w:p>
          <w:p w14:paraId="0BF2E975" w14:textId="673A92BC" w:rsidR="00F86108" w:rsidRDefault="00B06C5F" w:rsidP="00B06C5F">
            <w:pPr>
              <w:tabs>
                <w:tab w:val="left" w:pos="8080"/>
              </w:tabs>
              <w:jc w:val="both"/>
              <w:rPr>
                <w:rFonts w:cs="Arial"/>
                <w:lang w:val="en-US"/>
              </w:rPr>
            </w:pPr>
            <w:r w:rsidRPr="00B06C5F">
              <w:rPr>
                <w:rFonts w:cs="Arial"/>
                <w:lang w:val="en-US"/>
              </w:rPr>
              <w:t xml:space="preserve">A financial framework for the ICS </w:t>
            </w:r>
            <w:r>
              <w:rPr>
                <w:rFonts w:cs="Arial"/>
                <w:lang w:val="en-US"/>
              </w:rPr>
              <w:t xml:space="preserve">is in place for 2023/24 and further </w:t>
            </w:r>
            <w:r w:rsidRPr="00B06C5F">
              <w:rPr>
                <w:rFonts w:cs="Arial"/>
                <w:lang w:val="en-US"/>
              </w:rPr>
              <w:t xml:space="preserve">development </w:t>
            </w:r>
            <w:r>
              <w:rPr>
                <w:rFonts w:cs="Arial"/>
                <w:lang w:val="en-US"/>
              </w:rPr>
              <w:t xml:space="preserve">will be undertaken to build on </w:t>
            </w:r>
            <w:r w:rsidR="002B19B9">
              <w:rPr>
                <w:rFonts w:cs="Arial"/>
                <w:lang w:val="en-US"/>
              </w:rPr>
              <w:t>System working</w:t>
            </w:r>
            <w:r>
              <w:rPr>
                <w:rFonts w:cs="Arial"/>
                <w:lang w:val="en-US"/>
              </w:rPr>
              <w:t xml:space="preserve"> based on the 2022/23 year.</w:t>
            </w:r>
          </w:p>
          <w:p w14:paraId="0049891F" w14:textId="1D2768F9" w:rsidR="00B06C5F" w:rsidRPr="0082442F" w:rsidRDefault="00B06C5F" w:rsidP="00B06C5F">
            <w:pPr>
              <w:tabs>
                <w:tab w:val="left" w:pos="8080"/>
              </w:tabs>
              <w:jc w:val="both"/>
              <w:rPr>
                <w:rFonts w:eastAsia="Times New Roman"/>
              </w:rPr>
            </w:pPr>
          </w:p>
        </w:tc>
      </w:tr>
      <w:tr w:rsidR="00EE633D" w:rsidRPr="0034654F" w14:paraId="41E5A21C" w14:textId="77777777" w:rsidTr="0082442F">
        <w:trPr>
          <w:gridAfter w:val="1"/>
          <w:wAfter w:w="38" w:type="dxa"/>
          <w:cantSplit/>
        </w:trPr>
        <w:tc>
          <w:tcPr>
            <w:tcW w:w="2455" w:type="dxa"/>
            <w:shd w:val="clear" w:color="auto" w:fill="F2F2F2" w:themeFill="background1" w:themeFillShade="F2"/>
          </w:tcPr>
          <w:p w14:paraId="3BE0EA6F" w14:textId="2F55E377" w:rsidR="00EE633D" w:rsidRPr="0034654F" w:rsidRDefault="00EE633D" w:rsidP="00F442C2">
            <w:pPr>
              <w:rPr>
                <w:rFonts w:eastAsia="Times New Roman" w:cs="Arial"/>
                <w:b/>
              </w:rPr>
            </w:pPr>
            <w:r w:rsidRPr="0034654F">
              <w:rPr>
                <w:rFonts w:eastAsia="Times New Roman" w:cs="Arial"/>
                <w:b/>
              </w:rPr>
              <w:t>Key Issues</w:t>
            </w:r>
            <w:r w:rsidR="00F76178" w:rsidRPr="0034654F">
              <w:rPr>
                <w:rFonts w:eastAsia="Times New Roman" w:cs="Arial"/>
                <w:b/>
              </w:rPr>
              <w:t xml:space="preserve"> to note</w:t>
            </w:r>
          </w:p>
          <w:p w14:paraId="3E8E6C41" w14:textId="77777777" w:rsidR="00EE633D" w:rsidRPr="0034654F" w:rsidRDefault="00EE633D" w:rsidP="00F442C2">
            <w:pPr>
              <w:rPr>
                <w:rFonts w:cs="Arial"/>
              </w:rPr>
            </w:pPr>
          </w:p>
        </w:tc>
        <w:tc>
          <w:tcPr>
            <w:tcW w:w="8285" w:type="dxa"/>
            <w:gridSpan w:val="9"/>
          </w:tcPr>
          <w:p w14:paraId="03B99EE3" w14:textId="60AC33EC" w:rsidR="0071245A" w:rsidRDefault="0071245A" w:rsidP="0071245A">
            <w:pPr>
              <w:tabs>
                <w:tab w:val="left" w:pos="8080"/>
              </w:tabs>
              <w:jc w:val="both"/>
              <w:rPr>
                <w:rFonts w:cs="Arial"/>
                <w:lang w:val="en-US"/>
              </w:rPr>
            </w:pPr>
            <w:r w:rsidRPr="0071245A">
              <w:rPr>
                <w:rFonts w:cs="Arial"/>
                <w:lang w:val="en-US"/>
              </w:rPr>
              <w:t xml:space="preserve">The Gloucestershire NHS System has worked jointly to develop a budget focusing on </w:t>
            </w:r>
            <w:r w:rsidR="002B19B9">
              <w:rPr>
                <w:rFonts w:cs="Arial"/>
                <w:lang w:val="en-US"/>
              </w:rPr>
              <w:t xml:space="preserve">delivery of the System joint operational plan with a focus on System </w:t>
            </w:r>
            <w:r w:rsidRPr="0071245A">
              <w:rPr>
                <w:rFonts w:cs="Arial"/>
                <w:lang w:val="en-US"/>
              </w:rPr>
              <w:t xml:space="preserve">rather than individual </w:t>
            </w:r>
            <w:proofErr w:type="spellStart"/>
            <w:r w:rsidRPr="0071245A">
              <w:rPr>
                <w:rFonts w:cs="Arial"/>
                <w:lang w:val="en-US"/>
              </w:rPr>
              <w:t>organisational</w:t>
            </w:r>
            <w:proofErr w:type="spellEnd"/>
            <w:r w:rsidRPr="0071245A">
              <w:rPr>
                <w:rFonts w:cs="Arial"/>
                <w:lang w:val="en-US"/>
              </w:rPr>
              <w:t xml:space="preserve"> positions within this</w:t>
            </w:r>
            <w:r w:rsidR="002B19B9">
              <w:rPr>
                <w:rFonts w:cs="Arial"/>
                <w:lang w:val="en-US"/>
              </w:rPr>
              <w:t>.</w:t>
            </w:r>
          </w:p>
          <w:p w14:paraId="79AA3CF0" w14:textId="5FF91B4C" w:rsidR="0071245A" w:rsidRDefault="0071245A" w:rsidP="0071245A">
            <w:pPr>
              <w:tabs>
                <w:tab w:val="left" w:pos="8080"/>
              </w:tabs>
              <w:jc w:val="both"/>
              <w:rPr>
                <w:rFonts w:cs="Arial"/>
                <w:lang w:val="en-US"/>
              </w:rPr>
            </w:pPr>
          </w:p>
          <w:p w14:paraId="3AB2776C" w14:textId="5CD9BC96" w:rsidR="0071245A" w:rsidRDefault="0071245A" w:rsidP="0071245A">
            <w:pPr>
              <w:tabs>
                <w:tab w:val="left" w:pos="8080"/>
              </w:tabs>
              <w:jc w:val="both"/>
              <w:rPr>
                <w:rFonts w:cs="Arial"/>
                <w:lang w:val="en-US"/>
              </w:rPr>
            </w:pPr>
            <w:r>
              <w:rPr>
                <w:rFonts w:cs="Arial"/>
                <w:lang w:val="en-US"/>
              </w:rPr>
              <w:t xml:space="preserve">Whilst the ICB and NHS System has been able to deliver a balanced budget in 2023/24 this includes </w:t>
            </w:r>
            <w:proofErr w:type="gramStart"/>
            <w:r>
              <w:rPr>
                <w:rFonts w:cs="Arial"/>
                <w:lang w:val="en-US"/>
              </w:rPr>
              <w:t>a number of</w:t>
            </w:r>
            <w:proofErr w:type="gramEnd"/>
            <w:r>
              <w:rPr>
                <w:rFonts w:cs="Arial"/>
                <w:lang w:val="en-US"/>
              </w:rPr>
              <w:t xml:space="preserve"> </w:t>
            </w:r>
            <w:proofErr w:type="spellStart"/>
            <w:r>
              <w:rPr>
                <w:rFonts w:cs="Arial"/>
                <w:lang w:val="en-US"/>
              </w:rPr>
              <w:t>non recurrent</w:t>
            </w:r>
            <w:proofErr w:type="spellEnd"/>
            <w:r>
              <w:rPr>
                <w:rFonts w:cs="Arial"/>
                <w:lang w:val="en-US"/>
              </w:rPr>
              <w:t xml:space="preserve"> measures to deliver the position; the underlying position remains a deficit and key next steps need to be:</w:t>
            </w:r>
          </w:p>
          <w:p w14:paraId="2824A3EE" w14:textId="77777777" w:rsidR="0071245A" w:rsidRDefault="0071245A" w:rsidP="0071245A">
            <w:pPr>
              <w:tabs>
                <w:tab w:val="left" w:pos="8080"/>
              </w:tabs>
              <w:jc w:val="both"/>
              <w:rPr>
                <w:rFonts w:cs="Arial"/>
                <w:lang w:val="en-US"/>
              </w:rPr>
            </w:pPr>
          </w:p>
          <w:p w14:paraId="130985A6" w14:textId="20B1A858" w:rsidR="0071245A" w:rsidRDefault="0071245A" w:rsidP="0071245A">
            <w:pPr>
              <w:pStyle w:val="ListParagraph"/>
              <w:numPr>
                <w:ilvl w:val="0"/>
                <w:numId w:val="12"/>
              </w:numPr>
              <w:tabs>
                <w:tab w:val="left" w:pos="8080"/>
              </w:tabs>
              <w:jc w:val="both"/>
              <w:rPr>
                <w:rFonts w:cs="Arial"/>
                <w:lang w:val="en-US"/>
              </w:rPr>
            </w:pPr>
            <w:r>
              <w:rPr>
                <w:rFonts w:cs="Arial"/>
                <w:lang w:val="en-US"/>
              </w:rPr>
              <w:t>Ensuring robust delivery of the 2023/24 plan including savings with a focus on increasing the level of recurrent savings</w:t>
            </w:r>
          </w:p>
          <w:p w14:paraId="5A940B5D" w14:textId="76C0DFFA" w:rsidR="0071245A" w:rsidRDefault="0071245A" w:rsidP="0071245A">
            <w:pPr>
              <w:pStyle w:val="ListParagraph"/>
              <w:numPr>
                <w:ilvl w:val="0"/>
                <w:numId w:val="12"/>
              </w:numPr>
              <w:tabs>
                <w:tab w:val="left" w:pos="8080"/>
              </w:tabs>
              <w:jc w:val="both"/>
              <w:rPr>
                <w:rFonts w:cs="Arial"/>
                <w:lang w:val="en-US"/>
              </w:rPr>
            </w:pPr>
            <w:r>
              <w:rPr>
                <w:rFonts w:cs="Arial"/>
                <w:lang w:val="en-US"/>
              </w:rPr>
              <w:t>Improving overall productivity within the System</w:t>
            </w:r>
          </w:p>
          <w:p w14:paraId="605D7DC4" w14:textId="0869F75D" w:rsidR="0071245A" w:rsidRPr="0071245A" w:rsidRDefault="0071245A" w:rsidP="0071245A">
            <w:pPr>
              <w:pStyle w:val="ListParagraph"/>
              <w:numPr>
                <w:ilvl w:val="0"/>
                <w:numId w:val="12"/>
              </w:numPr>
              <w:tabs>
                <w:tab w:val="left" w:pos="8080"/>
              </w:tabs>
              <w:jc w:val="both"/>
              <w:rPr>
                <w:rFonts w:cs="Arial"/>
                <w:lang w:val="en-US"/>
              </w:rPr>
            </w:pPr>
            <w:r>
              <w:rPr>
                <w:rFonts w:cs="Arial"/>
                <w:lang w:val="en-US"/>
              </w:rPr>
              <w:t xml:space="preserve">Developing a </w:t>
            </w:r>
            <w:proofErr w:type="gramStart"/>
            <w:r>
              <w:rPr>
                <w:rFonts w:cs="Arial"/>
                <w:lang w:val="en-US"/>
              </w:rPr>
              <w:t>medium term</w:t>
            </w:r>
            <w:proofErr w:type="gramEnd"/>
            <w:r>
              <w:rPr>
                <w:rFonts w:cs="Arial"/>
                <w:lang w:val="en-US"/>
              </w:rPr>
              <w:t xml:space="preserve"> plan that delivers operational recovery and performance moves the System back to financial sustainability</w:t>
            </w:r>
          </w:p>
          <w:p w14:paraId="2673C1FC" w14:textId="06070367" w:rsidR="00FF6F8F" w:rsidRPr="00FF6F8F" w:rsidRDefault="00957CAF" w:rsidP="0071245A">
            <w:pPr>
              <w:pStyle w:val="text"/>
              <w:spacing w:before="40" w:after="40"/>
              <w:jc w:val="both"/>
              <w:rPr>
                <w:rFonts w:ascii="Arial" w:hAnsi="Arial"/>
                <w:sz w:val="22"/>
                <w:szCs w:val="22"/>
              </w:rPr>
            </w:pPr>
            <w:r>
              <w:rPr>
                <w:rFonts w:ascii="Arial" w:hAnsi="Arial"/>
                <w:sz w:val="22"/>
                <w:szCs w:val="22"/>
              </w:rPr>
              <w:t xml:space="preserve">The budget also includes the funding for Pharmacy, Ophthalmology and Dental services which are being delegated to the ICB from the </w:t>
            </w:r>
            <w:proofErr w:type="gramStart"/>
            <w:r>
              <w:rPr>
                <w:rFonts w:ascii="Arial" w:hAnsi="Arial"/>
                <w:sz w:val="22"/>
                <w:szCs w:val="22"/>
              </w:rPr>
              <w:t>1</w:t>
            </w:r>
            <w:r w:rsidRPr="00957CAF">
              <w:rPr>
                <w:rFonts w:ascii="Arial" w:hAnsi="Arial"/>
                <w:sz w:val="22"/>
                <w:szCs w:val="22"/>
                <w:vertAlign w:val="superscript"/>
              </w:rPr>
              <w:t>st</w:t>
            </w:r>
            <w:proofErr w:type="gramEnd"/>
            <w:r>
              <w:rPr>
                <w:rFonts w:ascii="Arial" w:hAnsi="Arial"/>
                <w:sz w:val="22"/>
                <w:szCs w:val="22"/>
              </w:rPr>
              <w:t xml:space="preserve"> April 2023.</w:t>
            </w:r>
          </w:p>
        </w:tc>
      </w:tr>
      <w:tr w:rsidR="00EE633D" w:rsidRPr="0034654F" w14:paraId="670680CD" w14:textId="77777777" w:rsidTr="0082442F">
        <w:trPr>
          <w:gridAfter w:val="1"/>
          <w:wAfter w:w="38" w:type="dxa"/>
          <w:cantSplit/>
        </w:trPr>
        <w:tc>
          <w:tcPr>
            <w:tcW w:w="2455" w:type="dxa"/>
            <w:shd w:val="clear" w:color="auto" w:fill="F2F2F2" w:themeFill="background1" w:themeFillShade="F2"/>
          </w:tcPr>
          <w:p w14:paraId="2188E38A" w14:textId="581900DB" w:rsidR="00EE633D" w:rsidRDefault="00EE633D" w:rsidP="00F442C2">
            <w:pPr>
              <w:rPr>
                <w:rFonts w:eastAsia="Times New Roman" w:cs="Arial"/>
                <w:b/>
              </w:rPr>
            </w:pPr>
            <w:r w:rsidRPr="0034654F">
              <w:rPr>
                <w:rFonts w:eastAsia="Times New Roman" w:cs="Arial"/>
                <w:b/>
              </w:rPr>
              <w:t>Key Risks:</w:t>
            </w:r>
          </w:p>
          <w:p w14:paraId="5242BCEE" w14:textId="6556DB76" w:rsidR="00B06C5F" w:rsidRDefault="00B06C5F" w:rsidP="00F442C2">
            <w:pPr>
              <w:rPr>
                <w:rFonts w:eastAsia="Times New Roman" w:cs="Arial"/>
                <w:b/>
              </w:rPr>
            </w:pPr>
          </w:p>
          <w:p w14:paraId="502E3860" w14:textId="662CC51C" w:rsidR="00B06C5F" w:rsidRDefault="00B06C5F" w:rsidP="00F442C2">
            <w:pPr>
              <w:rPr>
                <w:rFonts w:eastAsia="Times New Roman" w:cs="Arial"/>
                <w:b/>
              </w:rPr>
            </w:pPr>
          </w:p>
          <w:p w14:paraId="5E929F55" w14:textId="092931D2" w:rsidR="00B06C5F" w:rsidRDefault="00B06C5F" w:rsidP="00F442C2">
            <w:pPr>
              <w:rPr>
                <w:rFonts w:eastAsia="Times New Roman" w:cs="Arial"/>
                <w:b/>
              </w:rPr>
            </w:pPr>
          </w:p>
          <w:p w14:paraId="0C68E97C" w14:textId="2FD1E342" w:rsidR="00B06C5F" w:rsidRDefault="00B06C5F" w:rsidP="00F442C2">
            <w:pPr>
              <w:rPr>
                <w:rFonts w:eastAsia="Times New Roman" w:cs="Arial"/>
                <w:b/>
              </w:rPr>
            </w:pPr>
          </w:p>
          <w:p w14:paraId="22083112" w14:textId="2F4F4E11" w:rsidR="00B06C5F" w:rsidRDefault="00B06C5F" w:rsidP="00F442C2">
            <w:pPr>
              <w:rPr>
                <w:rFonts w:eastAsia="Times New Roman" w:cs="Arial"/>
                <w:b/>
              </w:rPr>
            </w:pPr>
          </w:p>
          <w:p w14:paraId="1072A371" w14:textId="30B8240A" w:rsidR="00B06C5F" w:rsidRDefault="00B06C5F" w:rsidP="00F442C2">
            <w:pPr>
              <w:rPr>
                <w:rFonts w:eastAsia="Times New Roman" w:cs="Arial"/>
                <w:b/>
              </w:rPr>
            </w:pPr>
          </w:p>
          <w:p w14:paraId="234B672E" w14:textId="3F657267" w:rsidR="00B06C5F" w:rsidRDefault="00B06C5F" w:rsidP="00F442C2">
            <w:pPr>
              <w:rPr>
                <w:rFonts w:eastAsia="Times New Roman" w:cs="Arial"/>
                <w:b/>
              </w:rPr>
            </w:pPr>
          </w:p>
          <w:p w14:paraId="31E2B176" w14:textId="60BEBFC0" w:rsidR="00B06C5F" w:rsidRDefault="00B06C5F" w:rsidP="00F442C2">
            <w:pPr>
              <w:rPr>
                <w:rFonts w:eastAsia="Times New Roman" w:cs="Arial"/>
                <w:b/>
              </w:rPr>
            </w:pPr>
          </w:p>
          <w:p w14:paraId="10CF1852" w14:textId="73E4C705" w:rsidR="00B06C5F" w:rsidRDefault="00B06C5F" w:rsidP="00F442C2">
            <w:pPr>
              <w:rPr>
                <w:rFonts w:eastAsia="Times New Roman" w:cs="Arial"/>
                <w:b/>
              </w:rPr>
            </w:pPr>
          </w:p>
          <w:p w14:paraId="2AB404BA" w14:textId="57261B6D" w:rsidR="00B06C5F" w:rsidRDefault="00B06C5F" w:rsidP="00F442C2">
            <w:pPr>
              <w:rPr>
                <w:rFonts w:eastAsia="Times New Roman" w:cs="Arial"/>
                <w:b/>
              </w:rPr>
            </w:pPr>
          </w:p>
          <w:p w14:paraId="6BF705DA" w14:textId="77777777" w:rsidR="00B06C5F" w:rsidRDefault="00B06C5F" w:rsidP="00F442C2">
            <w:pPr>
              <w:rPr>
                <w:rFonts w:eastAsia="Times New Roman" w:cs="Arial"/>
                <w:b/>
              </w:rPr>
            </w:pPr>
          </w:p>
          <w:p w14:paraId="170C1711" w14:textId="77777777" w:rsidR="00B06C5F" w:rsidRDefault="00B06C5F" w:rsidP="00F442C2">
            <w:pPr>
              <w:rPr>
                <w:rFonts w:eastAsia="Times New Roman" w:cs="Arial"/>
                <w:b/>
              </w:rPr>
            </w:pPr>
          </w:p>
          <w:p w14:paraId="63A0DDD7" w14:textId="77777777" w:rsidR="00B06C5F" w:rsidRPr="0034654F" w:rsidRDefault="00B06C5F" w:rsidP="00F442C2">
            <w:pPr>
              <w:rPr>
                <w:rFonts w:eastAsia="Times New Roman" w:cs="Arial"/>
                <w:b/>
              </w:rPr>
            </w:pPr>
          </w:p>
          <w:p w14:paraId="32F62971" w14:textId="77777777" w:rsidR="00EE633D" w:rsidRPr="0034654F" w:rsidRDefault="00EE633D" w:rsidP="00F442C2">
            <w:pPr>
              <w:rPr>
                <w:rFonts w:eastAsia="Times New Roman" w:cs="Arial"/>
                <w:b/>
              </w:rPr>
            </w:pPr>
            <w:r w:rsidRPr="0034654F">
              <w:rPr>
                <w:rFonts w:eastAsia="Times New Roman" w:cs="Arial"/>
                <w:b/>
              </w:rPr>
              <w:t>Original Risk (</w:t>
            </w:r>
            <w:proofErr w:type="spellStart"/>
            <w:r w:rsidRPr="0034654F">
              <w:rPr>
                <w:rFonts w:eastAsia="Times New Roman" w:cs="Arial"/>
                <w:b/>
              </w:rPr>
              <w:t>CxL</w:t>
            </w:r>
            <w:proofErr w:type="spellEnd"/>
            <w:r w:rsidRPr="0034654F">
              <w:rPr>
                <w:rFonts w:eastAsia="Times New Roman" w:cs="Arial"/>
                <w:b/>
              </w:rPr>
              <w:t>)</w:t>
            </w:r>
          </w:p>
          <w:p w14:paraId="28A0AE31" w14:textId="77777777" w:rsidR="00EE633D" w:rsidRPr="0034654F" w:rsidRDefault="00EE633D" w:rsidP="00F442C2">
            <w:pPr>
              <w:rPr>
                <w:rFonts w:cs="Arial"/>
              </w:rPr>
            </w:pPr>
            <w:r w:rsidRPr="0034654F">
              <w:rPr>
                <w:rFonts w:eastAsia="Times New Roman" w:cs="Arial"/>
                <w:b/>
              </w:rPr>
              <w:t>Residual Risk (</w:t>
            </w:r>
            <w:proofErr w:type="spellStart"/>
            <w:r w:rsidRPr="0034654F">
              <w:rPr>
                <w:rFonts w:eastAsia="Times New Roman" w:cs="Arial"/>
                <w:b/>
              </w:rPr>
              <w:t>CxL</w:t>
            </w:r>
            <w:proofErr w:type="spellEnd"/>
            <w:r w:rsidRPr="0034654F">
              <w:rPr>
                <w:rFonts w:eastAsia="Times New Roman" w:cs="Arial"/>
                <w:b/>
              </w:rPr>
              <w:t>)</w:t>
            </w:r>
          </w:p>
        </w:tc>
        <w:tc>
          <w:tcPr>
            <w:tcW w:w="8285" w:type="dxa"/>
            <w:gridSpan w:val="9"/>
          </w:tcPr>
          <w:p w14:paraId="2A966D31" w14:textId="77777777" w:rsidR="00B06C5F" w:rsidRDefault="0071245A" w:rsidP="00A33E9E">
            <w:pPr>
              <w:spacing w:after="160" w:line="259" w:lineRule="auto"/>
              <w:jc w:val="both"/>
            </w:pPr>
            <w:r>
              <w:t>The ICB and System plan includes</w:t>
            </w:r>
            <w:r w:rsidR="00B06C5F">
              <w:t>:</w:t>
            </w:r>
          </w:p>
          <w:p w14:paraId="5A7D2351" w14:textId="77777777" w:rsidR="00B06C5F" w:rsidRPr="00B06C5F" w:rsidRDefault="0071245A" w:rsidP="00B06C5F">
            <w:pPr>
              <w:pStyle w:val="ListParagraph"/>
              <w:numPr>
                <w:ilvl w:val="0"/>
                <w:numId w:val="13"/>
              </w:numPr>
              <w:spacing w:after="160" w:line="259" w:lineRule="auto"/>
              <w:jc w:val="both"/>
              <w:rPr>
                <w:rFonts w:eastAsia="Calibri" w:cs="Arial"/>
              </w:rPr>
            </w:pPr>
            <w:r>
              <w:t xml:space="preserve">a high level of savings </w:t>
            </w:r>
          </w:p>
          <w:p w14:paraId="0A8CC797" w14:textId="77777777" w:rsidR="00B06C5F" w:rsidRPr="00B06C5F" w:rsidRDefault="0071245A" w:rsidP="00B06C5F">
            <w:pPr>
              <w:pStyle w:val="ListParagraph"/>
              <w:numPr>
                <w:ilvl w:val="0"/>
                <w:numId w:val="13"/>
              </w:numPr>
              <w:spacing w:after="160" w:line="259" w:lineRule="auto"/>
              <w:jc w:val="both"/>
              <w:rPr>
                <w:rFonts w:eastAsia="Calibri" w:cs="Arial"/>
              </w:rPr>
            </w:pPr>
            <w:r>
              <w:t>improvements in productivity within the plan</w:t>
            </w:r>
          </w:p>
          <w:p w14:paraId="16300922" w14:textId="6F560DB3" w:rsidR="00A33E9E" w:rsidRPr="00B06C5F" w:rsidRDefault="00B06C5F" w:rsidP="00B06C5F">
            <w:pPr>
              <w:pStyle w:val="ListParagraph"/>
              <w:numPr>
                <w:ilvl w:val="0"/>
                <w:numId w:val="13"/>
              </w:numPr>
              <w:spacing w:after="160" w:line="259" w:lineRule="auto"/>
              <w:jc w:val="both"/>
              <w:rPr>
                <w:rFonts w:eastAsia="Calibri" w:cs="Arial"/>
              </w:rPr>
            </w:pPr>
            <w:r>
              <w:t>t</w:t>
            </w:r>
            <w:r w:rsidR="0071245A">
              <w:t>he delivery of the elective recovery target</w:t>
            </w:r>
            <w:r>
              <w:t xml:space="preserve"> in full (average 109% value weighted)</w:t>
            </w:r>
          </w:p>
          <w:p w14:paraId="0CDA0CB4" w14:textId="18613FF7" w:rsidR="00B06C5F" w:rsidRDefault="00B06C5F" w:rsidP="00B06C5F">
            <w:pPr>
              <w:pStyle w:val="ListParagraph"/>
              <w:numPr>
                <w:ilvl w:val="0"/>
                <w:numId w:val="13"/>
              </w:numPr>
              <w:spacing w:after="160" w:line="259" w:lineRule="auto"/>
              <w:jc w:val="both"/>
              <w:rPr>
                <w:rFonts w:eastAsia="Calibri" w:cs="Arial"/>
              </w:rPr>
            </w:pPr>
            <w:r>
              <w:rPr>
                <w:rFonts w:eastAsia="Calibri" w:cs="Arial"/>
              </w:rPr>
              <w:t>the presumption that urgent care demand and flow will be managed via the additional programmes of work being implemented</w:t>
            </w:r>
          </w:p>
          <w:p w14:paraId="65DFB0AF" w14:textId="77172CD2" w:rsidR="00B06C5F" w:rsidRDefault="00B06C5F" w:rsidP="00B06C5F">
            <w:pPr>
              <w:pStyle w:val="ListParagraph"/>
              <w:numPr>
                <w:ilvl w:val="0"/>
                <w:numId w:val="13"/>
              </w:numPr>
              <w:spacing w:after="160" w:line="259" w:lineRule="auto"/>
              <w:jc w:val="both"/>
              <w:rPr>
                <w:rFonts w:eastAsia="Calibri" w:cs="Arial"/>
              </w:rPr>
            </w:pPr>
            <w:r>
              <w:rPr>
                <w:rFonts w:eastAsia="Calibri" w:cs="Arial"/>
              </w:rPr>
              <w:t>inflation not increasing further</w:t>
            </w:r>
          </w:p>
          <w:p w14:paraId="4F1F734B" w14:textId="08CD66A6" w:rsidR="00B06C5F" w:rsidRDefault="00B06C5F" w:rsidP="00B06C5F">
            <w:pPr>
              <w:spacing w:after="160" w:line="259" w:lineRule="auto"/>
              <w:jc w:val="both"/>
              <w:rPr>
                <w:rFonts w:eastAsia="Calibri" w:cs="Arial"/>
              </w:rPr>
            </w:pPr>
            <w:r>
              <w:rPr>
                <w:rFonts w:eastAsia="Calibri" w:cs="Arial"/>
              </w:rPr>
              <w:t>Mitigations include:</w:t>
            </w:r>
          </w:p>
          <w:p w14:paraId="4AE79125" w14:textId="14CD5871" w:rsidR="00B06C5F" w:rsidRDefault="00B06C5F" w:rsidP="00B06C5F">
            <w:pPr>
              <w:pStyle w:val="ListParagraph"/>
              <w:numPr>
                <w:ilvl w:val="0"/>
                <w:numId w:val="14"/>
              </w:numPr>
              <w:spacing w:after="160" w:line="259" w:lineRule="auto"/>
              <w:jc w:val="both"/>
              <w:rPr>
                <w:rFonts w:eastAsia="Calibri" w:cs="Arial"/>
              </w:rPr>
            </w:pPr>
            <w:r>
              <w:rPr>
                <w:rFonts w:eastAsia="Calibri" w:cs="Arial"/>
              </w:rPr>
              <w:t xml:space="preserve">strong programme management within organisations across savings, </w:t>
            </w:r>
            <w:proofErr w:type="gramStart"/>
            <w:r>
              <w:rPr>
                <w:rFonts w:eastAsia="Calibri" w:cs="Arial"/>
              </w:rPr>
              <w:t>elective</w:t>
            </w:r>
            <w:proofErr w:type="gramEnd"/>
            <w:r>
              <w:rPr>
                <w:rFonts w:eastAsia="Calibri" w:cs="Arial"/>
              </w:rPr>
              <w:t xml:space="preserve"> and urgent care programmes</w:t>
            </w:r>
          </w:p>
          <w:p w14:paraId="24C69C8D" w14:textId="71A76F4B" w:rsidR="00B06C5F" w:rsidRPr="00B06C5F" w:rsidRDefault="00B06C5F" w:rsidP="00B06C5F">
            <w:pPr>
              <w:pStyle w:val="ListParagraph"/>
              <w:numPr>
                <w:ilvl w:val="0"/>
                <w:numId w:val="14"/>
              </w:numPr>
              <w:spacing w:after="160" w:line="259" w:lineRule="auto"/>
              <w:jc w:val="both"/>
              <w:rPr>
                <w:rFonts w:eastAsia="Calibri" w:cs="Arial"/>
              </w:rPr>
            </w:pPr>
            <w:r>
              <w:rPr>
                <w:rFonts w:eastAsia="Calibri" w:cs="Arial"/>
              </w:rPr>
              <w:t xml:space="preserve">the ongoing identification of other savings to mitigate slippage in </w:t>
            </w:r>
            <w:proofErr w:type="gramStart"/>
            <w:r>
              <w:rPr>
                <w:rFonts w:eastAsia="Calibri" w:cs="Arial"/>
              </w:rPr>
              <w:t>savings,  demand</w:t>
            </w:r>
            <w:proofErr w:type="gramEnd"/>
            <w:r>
              <w:rPr>
                <w:rFonts w:eastAsia="Calibri" w:cs="Arial"/>
              </w:rPr>
              <w:t xml:space="preserve"> pressures and potential increases in inflation</w:t>
            </w:r>
          </w:p>
          <w:p w14:paraId="17697B27" w14:textId="63973CCA" w:rsidR="00EE633D" w:rsidRPr="002B19B9" w:rsidRDefault="00B06C5F" w:rsidP="004838C4">
            <w:pPr>
              <w:jc w:val="both"/>
              <w:rPr>
                <w:rFonts w:cs="Arial"/>
              </w:rPr>
            </w:pPr>
            <w:r w:rsidRPr="002B19B9">
              <w:rPr>
                <w:rFonts w:cs="Arial"/>
              </w:rPr>
              <w:t xml:space="preserve">5 * </w:t>
            </w:r>
            <w:r w:rsidR="002B19B9" w:rsidRPr="002B19B9">
              <w:rPr>
                <w:rFonts w:cs="Arial"/>
              </w:rPr>
              <w:t>5</w:t>
            </w:r>
            <w:r w:rsidRPr="002B19B9">
              <w:rPr>
                <w:rFonts w:cs="Arial"/>
              </w:rPr>
              <w:t xml:space="preserve"> = 2</w:t>
            </w:r>
            <w:r w:rsidR="002B19B9" w:rsidRPr="002B19B9">
              <w:rPr>
                <w:rFonts w:cs="Arial"/>
              </w:rPr>
              <w:t>5</w:t>
            </w:r>
          </w:p>
          <w:p w14:paraId="24944422" w14:textId="3DAB8036" w:rsidR="00B06C5F" w:rsidRPr="00C75985" w:rsidRDefault="00B06C5F" w:rsidP="004838C4">
            <w:pPr>
              <w:jc w:val="both"/>
              <w:rPr>
                <w:rFonts w:cs="Arial"/>
              </w:rPr>
            </w:pPr>
            <w:r w:rsidRPr="002B19B9">
              <w:rPr>
                <w:rFonts w:cs="Arial"/>
              </w:rPr>
              <w:t xml:space="preserve">5 * </w:t>
            </w:r>
            <w:r w:rsidR="002B19B9" w:rsidRPr="002B19B9">
              <w:rPr>
                <w:rFonts w:cs="Arial"/>
              </w:rPr>
              <w:t>4</w:t>
            </w:r>
            <w:r w:rsidRPr="002B19B9">
              <w:rPr>
                <w:rFonts w:cs="Arial"/>
              </w:rPr>
              <w:t xml:space="preserve"> = </w:t>
            </w:r>
            <w:r w:rsidR="002B19B9" w:rsidRPr="002B19B9">
              <w:rPr>
                <w:rFonts w:cs="Arial"/>
              </w:rPr>
              <w:t>20</w:t>
            </w:r>
          </w:p>
        </w:tc>
      </w:tr>
      <w:tr w:rsidR="00EE633D" w:rsidRPr="0034654F" w14:paraId="09FB6C69" w14:textId="77777777" w:rsidTr="0082442F">
        <w:trPr>
          <w:gridAfter w:val="1"/>
          <w:wAfter w:w="38" w:type="dxa"/>
          <w:cantSplit/>
        </w:trPr>
        <w:tc>
          <w:tcPr>
            <w:tcW w:w="2455" w:type="dxa"/>
            <w:shd w:val="clear" w:color="auto" w:fill="F2F2F2" w:themeFill="background1" w:themeFillShade="F2"/>
          </w:tcPr>
          <w:p w14:paraId="7F881801" w14:textId="77777777" w:rsidR="00EE633D" w:rsidRPr="0034654F" w:rsidRDefault="00EE633D" w:rsidP="00F442C2">
            <w:pPr>
              <w:rPr>
                <w:rFonts w:cs="Arial"/>
              </w:rPr>
            </w:pPr>
            <w:r w:rsidRPr="0034654F">
              <w:rPr>
                <w:rFonts w:eastAsia="Times New Roman" w:cs="Arial"/>
                <w:b/>
              </w:rPr>
              <w:t>Management of Conflicts of Interest</w:t>
            </w:r>
          </w:p>
        </w:tc>
        <w:tc>
          <w:tcPr>
            <w:tcW w:w="8285" w:type="dxa"/>
            <w:gridSpan w:val="9"/>
          </w:tcPr>
          <w:p w14:paraId="02D6424D" w14:textId="77777777" w:rsidR="00EE633D" w:rsidRDefault="00FF6F8F" w:rsidP="00F14229">
            <w:pPr>
              <w:jc w:val="both"/>
              <w:rPr>
                <w:rFonts w:cs="Arial"/>
              </w:rPr>
            </w:pPr>
            <w:r>
              <w:rPr>
                <w:rFonts w:cs="Arial"/>
              </w:rPr>
              <w:t>There are no conflicts of interests involved in producing this report.</w:t>
            </w:r>
          </w:p>
          <w:p w14:paraId="231C2670" w14:textId="70BA4169" w:rsidR="00FF6F8F" w:rsidRPr="00C75985" w:rsidRDefault="00FF6F8F" w:rsidP="00F14229">
            <w:pPr>
              <w:jc w:val="both"/>
              <w:rPr>
                <w:rFonts w:cs="Arial"/>
              </w:rPr>
            </w:pPr>
          </w:p>
        </w:tc>
      </w:tr>
      <w:tr w:rsidR="0034654F" w:rsidRPr="0034654F" w14:paraId="0E68BCEB" w14:textId="77777777" w:rsidTr="0082442F">
        <w:trPr>
          <w:gridAfter w:val="1"/>
          <w:wAfter w:w="38" w:type="dxa"/>
          <w:cantSplit/>
          <w:trHeight w:val="135"/>
        </w:trPr>
        <w:tc>
          <w:tcPr>
            <w:tcW w:w="2455" w:type="dxa"/>
            <w:vMerge w:val="restart"/>
            <w:shd w:val="clear" w:color="auto" w:fill="F2F2F2" w:themeFill="background1" w:themeFillShade="F2"/>
          </w:tcPr>
          <w:p w14:paraId="4CAC7033" w14:textId="0F4DC7D4" w:rsidR="00F76178" w:rsidRPr="0034654F" w:rsidRDefault="00F76178" w:rsidP="00F442C2">
            <w:pPr>
              <w:rPr>
                <w:rFonts w:eastAsia="Times New Roman" w:cs="Arial"/>
                <w:b/>
              </w:rPr>
            </w:pPr>
            <w:r w:rsidRPr="0034654F">
              <w:rPr>
                <w:rFonts w:eastAsia="Times New Roman" w:cs="Arial"/>
                <w:b/>
              </w:rPr>
              <w:t>Resource Impact</w:t>
            </w:r>
            <w:r w:rsidR="00287900">
              <w:rPr>
                <w:rFonts w:eastAsia="Times New Roman" w:cs="Arial"/>
                <w:b/>
              </w:rPr>
              <w:t xml:space="preserve"> (X)</w:t>
            </w:r>
          </w:p>
        </w:tc>
        <w:tc>
          <w:tcPr>
            <w:tcW w:w="1951" w:type="dxa"/>
            <w:shd w:val="clear" w:color="auto" w:fill="F2F2F2" w:themeFill="background1" w:themeFillShade="F2"/>
          </w:tcPr>
          <w:p w14:paraId="2948A690" w14:textId="5C670C4E" w:rsidR="00F76178" w:rsidRPr="0034654F" w:rsidRDefault="00F76178" w:rsidP="00981EDB">
            <w:pPr>
              <w:spacing w:before="60" w:after="60"/>
              <w:jc w:val="right"/>
              <w:rPr>
                <w:rFonts w:eastAsia="Times New Roman" w:cs="Arial"/>
                <w:b/>
                <w:bCs/>
              </w:rPr>
            </w:pPr>
            <w:r w:rsidRPr="0034654F">
              <w:rPr>
                <w:rFonts w:eastAsia="Times New Roman" w:cs="Arial"/>
                <w:b/>
                <w:bCs/>
              </w:rPr>
              <w:t>Financial</w:t>
            </w:r>
          </w:p>
        </w:tc>
        <w:tc>
          <w:tcPr>
            <w:tcW w:w="589" w:type="dxa"/>
          </w:tcPr>
          <w:p w14:paraId="632AB64E" w14:textId="270A9C67" w:rsidR="00F76178" w:rsidRPr="0034654F" w:rsidRDefault="00C75985" w:rsidP="00287900">
            <w:pPr>
              <w:spacing w:before="60" w:after="60"/>
              <w:jc w:val="center"/>
              <w:rPr>
                <w:rFonts w:eastAsia="Times New Roman" w:cs="Arial"/>
              </w:rPr>
            </w:pPr>
            <w:r>
              <w:rPr>
                <w:rFonts w:eastAsia="Times New Roman" w:cs="Arial"/>
              </w:rPr>
              <w:t>X</w:t>
            </w:r>
          </w:p>
        </w:tc>
        <w:tc>
          <w:tcPr>
            <w:tcW w:w="5200" w:type="dxa"/>
            <w:gridSpan w:val="6"/>
            <w:shd w:val="clear" w:color="auto" w:fill="F2F2F2" w:themeFill="background1" w:themeFillShade="F2"/>
          </w:tcPr>
          <w:p w14:paraId="78A0BFED" w14:textId="0DE6D572" w:rsidR="00F76178" w:rsidRPr="0034654F" w:rsidRDefault="00F76178" w:rsidP="00981EDB">
            <w:pPr>
              <w:spacing w:before="60" w:after="60"/>
              <w:jc w:val="right"/>
              <w:rPr>
                <w:rFonts w:eastAsia="Times New Roman" w:cs="Arial"/>
                <w:b/>
                <w:bCs/>
              </w:rPr>
            </w:pPr>
            <w:r w:rsidRPr="0034654F">
              <w:rPr>
                <w:rFonts w:eastAsia="Times New Roman" w:cs="Arial"/>
                <w:b/>
                <w:bCs/>
              </w:rPr>
              <w:t>Information Management &amp; Technology</w:t>
            </w:r>
          </w:p>
        </w:tc>
        <w:tc>
          <w:tcPr>
            <w:tcW w:w="545" w:type="dxa"/>
          </w:tcPr>
          <w:p w14:paraId="0E592EE5" w14:textId="6AA3CEFD" w:rsidR="00F76178" w:rsidRPr="0034654F" w:rsidRDefault="00F76178" w:rsidP="00287900">
            <w:pPr>
              <w:spacing w:before="60" w:after="60"/>
              <w:jc w:val="center"/>
              <w:rPr>
                <w:rFonts w:eastAsia="Times New Roman" w:cs="Arial"/>
              </w:rPr>
            </w:pPr>
          </w:p>
        </w:tc>
      </w:tr>
      <w:tr w:rsidR="0034654F" w:rsidRPr="0034654F" w14:paraId="189E5900" w14:textId="77777777" w:rsidTr="0082442F">
        <w:trPr>
          <w:gridAfter w:val="1"/>
          <w:wAfter w:w="38" w:type="dxa"/>
          <w:cantSplit/>
          <w:trHeight w:val="135"/>
        </w:trPr>
        <w:tc>
          <w:tcPr>
            <w:tcW w:w="2455" w:type="dxa"/>
            <w:vMerge/>
            <w:shd w:val="clear" w:color="auto" w:fill="F2F2F2" w:themeFill="background1" w:themeFillShade="F2"/>
          </w:tcPr>
          <w:p w14:paraId="76C26C3D" w14:textId="77777777" w:rsidR="00F76178" w:rsidRPr="0034654F" w:rsidRDefault="00F76178" w:rsidP="00F442C2">
            <w:pPr>
              <w:rPr>
                <w:rFonts w:eastAsia="Times New Roman" w:cs="Arial"/>
                <w:b/>
              </w:rPr>
            </w:pPr>
          </w:p>
        </w:tc>
        <w:tc>
          <w:tcPr>
            <w:tcW w:w="1951" w:type="dxa"/>
            <w:shd w:val="clear" w:color="auto" w:fill="F2F2F2" w:themeFill="background1" w:themeFillShade="F2"/>
          </w:tcPr>
          <w:p w14:paraId="1417D4D9" w14:textId="67ACFE50" w:rsidR="00F76178" w:rsidRPr="0034654F" w:rsidRDefault="00F76178" w:rsidP="00981EDB">
            <w:pPr>
              <w:spacing w:before="60" w:after="60"/>
              <w:jc w:val="right"/>
              <w:rPr>
                <w:rFonts w:eastAsia="Times New Roman" w:cs="Arial"/>
                <w:b/>
                <w:bCs/>
              </w:rPr>
            </w:pPr>
            <w:r w:rsidRPr="0034654F">
              <w:rPr>
                <w:rFonts w:eastAsia="Times New Roman" w:cs="Arial"/>
                <w:b/>
                <w:bCs/>
              </w:rPr>
              <w:t>Human Resource</w:t>
            </w:r>
          </w:p>
        </w:tc>
        <w:tc>
          <w:tcPr>
            <w:tcW w:w="589" w:type="dxa"/>
          </w:tcPr>
          <w:p w14:paraId="714D3E67" w14:textId="16152FF1" w:rsidR="00F76178" w:rsidRPr="0034654F" w:rsidRDefault="00F76178" w:rsidP="00287900">
            <w:pPr>
              <w:spacing w:before="60" w:after="60"/>
              <w:jc w:val="center"/>
              <w:rPr>
                <w:rFonts w:eastAsia="Times New Roman" w:cs="Arial"/>
              </w:rPr>
            </w:pPr>
          </w:p>
        </w:tc>
        <w:tc>
          <w:tcPr>
            <w:tcW w:w="5200" w:type="dxa"/>
            <w:gridSpan w:val="6"/>
            <w:shd w:val="clear" w:color="auto" w:fill="F2F2F2" w:themeFill="background1" w:themeFillShade="F2"/>
          </w:tcPr>
          <w:p w14:paraId="3B5FF0C0" w14:textId="38BD6CC6" w:rsidR="00F76178" w:rsidRPr="0034654F" w:rsidRDefault="00F76178" w:rsidP="00981EDB">
            <w:pPr>
              <w:spacing w:before="60" w:after="60"/>
              <w:jc w:val="right"/>
              <w:rPr>
                <w:rFonts w:eastAsia="Times New Roman" w:cs="Arial"/>
                <w:b/>
                <w:bCs/>
              </w:rPr>
            </w:pPr>
            <w:r w:rsidRPr="0034654F">
              <w:rPr>
                <w:rFonts w:eastAsia="Times New Roman" w:cs="Arial"/>
                <w:b/>
                <w:bCs/>
              </w:rPr>
              <w:t>Buildings</w:t>
            </w:r>
          </w:p>
        </w:tc>
        <w:tc>
          <w:tcPr>
            <w:tcW w:w="545" w:type="dxa"/>
          </w:tcPr>
          <w:p w14:paraId="1BBF654F" w14:textId="6F5B13E9" w:rsidR="00F76178" w:rsidRPr="0034654F" w:rsidRDefault="00F76178" w:rsidP="00287900">
            <w:pPr>
              <w:spacing w:before="60" w:after="60"/>
              <w:jc w:val="center"/>
              <w:rPr>
                <w:rFonts w:eastAsia="Times New Roman" w:cs="Arial"/>
              </w:rPr>
            </w:pPr>
          </w:p>
        </w:tc>
      </w:tr>
      <w:tr w:rsidR="00EE633D" w:rsidRPr="0034654F" w14:paraId="00B3389F" w14:textId="77777777" w:rsidTr="0082442F">
        <w:trPr>
          <w:gridAfter w:val="1"/>
          <w:wAfter w:w="38" w:type="dxa"/>
          <w:cantSplit/>
        </w:trPr>
        <w:tc>
          <w:tcPr>
            <w:tcW w:w="2455" w:type="dxa"/>
            <w:shd w:val="clear" w:color="auto" w:fill="F2F2F2" w:themeFill="background1" w:themeFillShade="F2"/>
          </w:tcPr>
          <w:p w14:paraId="0D7AA3D5" w14:textId="77777777" w:rsidR="00EE633D" w:rsidRPr="0034654F" w:rsidRDefault="00EE633D" w:rsidP="00F442C2">
            <w:pPr>
              <w:rPr>
                <w:rFonts w:cs="Arial"/>
              </w:rPr>
            </w:pPr>
            <w:r w:rsidRPr="0034654F">
              <w:rPr>
                <w:rFonts w:eastAsia="Times New Roman" w:cs="Arial"/>
                <w:b/>
              </w:rPr>
              <w:t>Financial Impact</w:t>
            </w:r>
          </w:p>
        </w:tc>
        <w:tc>
          <w:tcPr>
            <w:tcW w:w="8285" w:type="dxa"/>
            <w:gridSpan w:val="9"/>
          </w:tcPr>
          <w:p w14:paraId="55DFAB15" w14:textId="70A3FD11" w:rsidR="00495E6A" w:rsidRPr="00FF6F8F" w:rsidRDefault="00B06C5F" w:rsidP="00F14229">
            <w:pPr>
              <w:pStyle w:val="text"/>
              <w:spacing w:before="40" w:after="40"/>
              <w:jc w:val="both"/>
              <w:rPr>
                <w:rFonts w:ascii="Arial" w:hAnsi="Arial"/>
                <w:sz w:val="22"/>
                <w:szCs w:val="22"/>
              </w:rPr>
            </w:pPr>
            <w:r>
              <w:rPr>
                <w:rFonts w:ascii="Arial" w:hAnsi="Arial"/>
                <w:sz w:val="22"/>
                <w:szCs w:val="22"/>
              </w:rPr>
              <w:t>The ICB is proposing a breakeven budget</w:t>
            </w:r>
          </w:p>
        </w:tc>
      </w:tr>
      <w:tr w:rsidR="00EE633D" w:rsidRPr="0034654F" w14:paraId="19D2BE88" w14:textId="77777777" w:rsidTr="0082442F">
        <w:trPr>
          <w:gridAfter w:val="1"/>
          <w:wAfter w:w="38" w:type="dxa"/>
          <w:cantSplit/>
        </w:trPr>
        <w:tc>
          <w:tcPr>
            <w:tcW w:w="2455" w:type="dxa"/>
            <w:shd w:val="clear" w:color="auto" w:fill="F2F2F2" w:themeFill="background1" w:themeFillShade="F2"/>
          </w:tcPr>
          <w:p w14:paraId="768FE621" w14:textId="0E9B349C" w:rsidR="00EE633D" w:rsidRPr="0034654F" w:rsidRDefault="00F76178" w:rsidP="00F442C2">
            <w:pPr>
              <w:rPr>
                <w:rFonts w:cs="Arial"/>
              </w:rPr>
            </w:pPr>
            <w:r w:rsidRPr="0034654F">
              <w:rPr>
                <w:rFonts w:eastAsia="Times New Roman" w:cs="Arial"/>
                <w:b/>
              </w:rPr>
              <w:t xml:space="preserve">Regulatory and </w:t>
            </w:r>
            <w:r w:rsidR="00EE633D" w:rsidRPr="0034654F">
              <w:rPr>
                <w:rFonts w:eastAsia="Times New Roman" w:cs="Arial"/>
                <w:b/>
              </w:rPr>
              <w:t xml:space="preserve">Legal Issues (including NHS Constitution) </w:t>
            </w:r>
          </w:p>
        </w:tc>
        <w:tc>
          <w:tcPr>
            <w:tcW w:w="8285" w:type="dxa"/>
            <w:gridSpan w:val="9"/>
          </w:tcPr>
          <w:p w14:paraId="056BF641" w14:textId="73E02E76" w:rsidR="00EE633D" w:rsidRPr="00FF6F8F" w:rsidRDefault="00B06C5F" w:rsidP="00B06C5F">
            <w:pPr>
              <w:pStyle w:val="text"/>
              <w:spacing w:before="40" w:after="40"/>
              <w:rPr>
                <w:rFonts w:ascii="Arial" w:hAnsi="Arial"/>
                <w:sz w:val="22"/>
                <w:szCs w:val="22"/>
              </w:rPr>
            </w:pPr>
            <w:r w:rsidRPr="00B06C5F">
              <w:rPr>
                <w:rFonts w:ascii="Arial" w:hAnsi="Arial"/>
                <w:sz w:val="22"/>
                <w:szCs w:val="22"/>
              </w:rPr>
              <w:t xml:space="preserve">ICBs and their partner NHS </w:t>
            </w:r>
            <w:proofErr w:type="gramStart"/>
            <w:r w:rsidRPr="00B06C5F">
              <w:rPr>
                <w:rFonts w:ascii="Arial" w:hAnsi="Arial"/>
                <w:sz w:val="22"/>
                <w:szCs w:val="22"/>
              </w:rPr>
              <w:t>trusts</w:t>
            </w:r>
            <w:proofErr w:type="gramEnd"/>
            <w:r w:rsidRPr="00B06C5F">
              <w:rPr>
                <w:rFonts w:ascii="Arial" w:hAnsi="Arial"/>
                <w:sz w:val="22"/>
                <w:szCs w:val="22"/>
              </w:rPr>
              <w:t xml:space="preserve"> and NHS foundation trusts should exercise their functions with a view to ensuring that local revenue resource use does not exceed income in each financial year. </w:t>
            </w:r>
            <w:r w:rsidRPr="00B06C5F">
              <w:rPr>
                <w:rFonts w:ascii="Arial" w:hAnsi="Arial"/>
                <w:sz w:val="22"/>
                <w:szCs w:val="22"/>
              </w:rPr>
              <w:br/>
            </w:r>
            <w:r w:rsidRPr="00B06C5F">
              <w:rPr>
                <w:rFonts w:ascii="Arial" w:hAnsi="Arial"/>
                <w:sz w:val="22"/>
                <w:szCs w:val="22"/>
              </w:rPr>
              <w:br/>
              <w:t>NHS England has set the objective that each ICB, and the partner trusts that have their resource use apportioned to it, in accordance with the financial direction set out below, should seek to deliver a financially balanced system, which may be referred to as a ‘breakeven duty</w:t>
            </w:r>
          </w:p>
        </w:tc>
      </w:tr>
      <w:tr w:rsidR="00EE633D" w:rsidRPr="0034654F" w14:paraId="6447B4ED" w14:textId="77777777" w:rsidTr="0082442F">
        <w:trPr>
          <w:gridAfter w:val="1"/>
          <w:wAfter w:w="38" w:type="dxa"/>
          <w:cantSplit/>
        </w:trPr>
        <w:tc>
          <w:tcPr>
            <w:tcW w:w="2455" w:type="dxa"/>
            <w:shd w:val="clear" w:color="auto" w:fill="F2F2F2" w:themeFill="background1" w:themeFillShade="F2"/>
          </w:tcPr>
          <w:p w14:paraId="44E4339C" w14:textId="77777777" w:rsidR="00EE633D" w:rsidRPr="0034654F" w:rsidRDefault="00EE633D" w:rsidP="00F442C2">
            <w:pPr>
              <w:rPr>
                <w:rFonts w:eastAsia="Times New Roman" w:cs="Arial"/>
                <w:b/>
              </w:rPr>
            </w:pPr>
            <w:r w:rsidRPr="0034654F">
              <w:rPr>
                <w:rFonts w:eastAsia="Times New Roman" w:cs="Arial"/>
                <w:b/>
              </w:rPr>
              <w:t>Impact on Health Inequalities</w:t>
            </w:r>
          </w:p>
        </w:tc>
        <w:tc>
          <w:tcPr>
            <w:tcW w:w="8285" w:type="dxa"/>
            <w:gridSpan w:val="9"/>
          </w:tcPr>
          <w:p w14:paraId="12F2E29D" w14:textId="029B96DF" w:rsidR="00A33E9E" w:rsidRPr="00A33E9E" w:rsidRDefault="00A012D6" w:rsidP="00A012D6">
            <w:pPr>
              <w:tabs>
                <w:tab w:val="left" w:pos="2715"/>
              </w:tabs>
              <w:spacing w:after="160" w:line="259" w:lineRule="auto"/>
              <w:rPr>
                <w:rFonts w:eastAsia="Calibri" w:cs="Arial"/>
              </w:rPr>
            </w:pPr>
            <w:r>
              <w:rPr>
                <w:rFonts w:eastAsia="Times New Roman" w:cs="Arial"/>
              </w:rPr>
              <w:t>Various programmes within the budget will impact on health inequalities and the impact will be assessed by the specific programmes</w:t>
            </w:r>
          </w:p>
          <w:p w14:paraId="7429023C" w14:textId="4AD0DA8A" w:rsidR="00EE633D" w:rsidRPr="0034654F" w:rsidRDefault="00EE633D" w:rsidP="00F14229">
            <w:pPr>
              <w:jc w:val="both"/>
              <w:rPr>
                <w:rFonts w:eastAsia="Times New Roman" w:cs="Arial"/>
              </w:rPr>
            </w:pPr>
          </w:p>
        </w:tc>
      </w:tr>
      <w:tr w:rsidR="00EE633D" w:rsidRPr="0034654F" w14:paraId="460F47CC" w14:textId="77777777" w:rsidTr="0082442F">
        <w:trPr>
          <w:gridAfter w:val="1"/>
          <w:wAfter w:w="38" w:type="dxa"/>
          <w:cantSplit/>
        </w:trPr>
        <w:tc>
          <w:tcPr>
            <w:tcW w:w="2455" w:type="dxa"/>
            <w:shd w:val="clear" w:color="auto" w:fill="F2F2F2" w:themeFill="background1" w:themeFillShade="F2"/>
          </w:tcPr>
          <w:p w14:paraId="2DF4DA84" w14:textId="77777777" w:rsidR="00EE633D" w:rsidRPr="0034654F" w:rsidRDefault="00EE633D" w:rsidP="00F442C2">
            <w:pPr>
              <w:rPr>
                <w:rFonts w:eastAsia="Times New Roman" w:cs="Arial"/>
                <w:b/>
              </w:rPr>
            </w:pPr>
            <w:r w:rsidRPr="0034654F">
              <w:rPr>
                <w:rFonts w:eastAsia="Times New Roman" w:cs="Arial"/>
                <w:b/>
              </w:rPr>
              <w:t>Impact on Equality and Diversity</w:t>
            </w:r>
          </w:p>
        </w:tc>
        <w:tc>
          <w:tcPr>
            <w:tcW w:w="8285" w:type="dxa"/>
            <w:gridSpan w:val="9"/>
          </w:tcPr>
          <w:p w14:paraId="4B9EF04C" w14:textId="06B22FB4" w:rsidR="00A012D6" w:rsidRPr="00A33E9E" w:rsidRDefault="00A012D6" w:rsidP="00A012D6">
            <w:pPr>
              <w:tabs>
                <w:tab w:val="left" w:pos="2715"/>
              </w:tabs>
              <w:spacing w:after="160" w:line="259" w:lineRule="auto"/>
              <w:rPr>
                <w:rFonts w:eastAsia="Calibri" w:cs="Arial"/>
              </w:rPr>
            </w:pPr>
            <w:r>
              <w:rPr>
                <w:rFonts w:eastAsia="Times New Roman" w:cs="Arial"/>
              </w:rPr>
              <w:t>Various programmes within the budget will impact on inequalities and diversity and the impact will be assessed by the specific programmes</w:t>
            </w:r>
          </w:p>
          <w:p w14:paraId="4A76AE73" w14:textId="18C94937" w:rsidR="00EE633D" w:rsidRPr="0034654F" w:rsidRDefault="00EE633D" w:rsidP="00F14229">
            <w:pPr>
              <w:jc w:val="both"/>
              <w:rPr>
                <w:rFonts w:eastAsia="Times New Roman" w:cs="Arial"/>
              </w:rPr>
            </w:pPr>
          </w:p>
        </w:tc>
      </w:tr>
      <w:tr w:rsidR="00EE633D" w:rsidRPr="0034654F" w14:paraId="3AF2B4DF" w14:textId="77777777" w:rsidTr="0082442F">
        <w:trPr>
          <w:gridAfter w:val="1"/>
          <w:wAfter w:w="38" w:type="dxa"/>
          <w:cantSplit/>
        </w:trPr>
        <w:tc>
          <w:tcPr>
            <w:tcW w:w="2455" w:type="dxa"/>
            <w:shd w:val="clear" w:color="auto" w:fill="F2F2F2" w:themeFill="background1" w:themeFillShade="F2"/>
          </w:tcPr>
          <w:p w14:paraId="534224AA" w14:textId="77777777" w:rsidR="00EE633D" w:rsidRPr="0034654F" w:rsidRDefault="00EE633D" w:rsidP="00F442C2">
            <w:pPr>
              <w:rPr>
                <w:rFonts w:eastAsia="Times New Roman" w:cs="Arial"/>
                <w:b/>
              </w:rPr>
            </w:pPr>
            <w:r w:rsidRPr="0034654F">
              <w:rPr>
                <w:rFonts w:eastAsia="Times New Roman" w:cs="Arial"/>
                <w:b/>
              </w:rPr>
              <w:t>Impact on Sustainable Development</w:t>
            </w:r>
          </w:p>
        </w:tc>
        <w:tc>
          <w:tcPr>
            <w:tcW w:w="8285" w:type="dxa"/>
            <w:gridSpan w:val="9"/>
          </w:tcPr>
          <w:p w14:paraId="550B4E65" w14:textId="3967E407" w:rsidR="00A012D6" w:rsidRPr="00A33E9E" w:rsidRDefault="00A012D6" w:rsidP="00A012D6">
            <w:pPr>
              <w:tabs>
                <w:tab w:val="left" w:pos="2715"/>
              </w:tabs>
              <w:spacing w:after="160" w:line="259" w:lineRule="auto"/>
              <w:rPr>
                <w:rFonts w:eastAsia="Calibri" w:cs="Arial"/>
              </w:rPr>
            </w:pPr>
            <w:r>
              <w:rPr>
                <w:rFonts w:eastAsia="Times New Roman" w:cs="Arial"/>
              </w:rPr>
              <w:t>Various programmes within the budget will impact on sustainable development and the impact will be assessed by the specific programmes</w:t>
            </w:r>
          </w:p>
          <w:p w14:paraId="3A932B58" w14:textId="2E0365E1" w:rsidR="00EE633D" w:rsidRPr="0034654F" w:rsidRDefault="00EE633D" w:rsidP="00F14229">
            <w:pPr>
              <w:jc w:val="both"/>
              <w:rPr>
                <w:rFonts w:eastAsia="Times New Roman" w:cs="Arial"/>
              </w:rPr>
            </w:pPr>
          </w:p>
        </w:tc>
      </w:tr>
      <w:tr w:rsidR="00EE633D" w:rsidRPr="0034654F" w14:paraId="76E2DB19" w14:textId="77777777" w:rsidTr="0082442F">
        <w:trPr>
          <w:gridAfter w:val="1"/>
          <w:wAfter w:w="38" w:type="dxa"/>
          <w:cantSplit/>
        </w:trPr>
        <w:tc>
          <w:tcPr>
            <w:tcW w:w="2455" w:type="dxa"/>
            <w:shd w:val="clear" w:color="auto" w:fill="F2F2F2" w:themeFill="background1" w:themeFillShade="F2"/>
          </w:tcPr>
          <w:p w14:paraId="0C11AA0E" w14:textId="77777777" w:rsidR="00EE633D" w:rsidRPr="0034654F" w:rsidRDefault="00EE633D" w:rsidP="00F442C2">
            <w:pPr>
              <w:rPr>
                <w:rFonts w:eastAsia="Times New Roman" w:cs="Arial"/>
                <w:b/>
              </w:rPr>
            </w:pPr>
            <w:r w:rsidRPr="0034654F">
              <w:rPr>
                <w:rFonts w:eastAsia="Times New Roman" w:cs="Arial"/>
                <w:b/>
              </w:rPr>
              <w:t>Patient and Public Involvement</w:t>
            </w:r>
          </w:p>
        </w:tc>
        <w:tc>
          <w:tcPr>
            <w:tcW w:w="8285" w:type="dxa"/>
            <w:gridSpan w:val="9"/>
          </w:tcPr>
          <w:p w14:paraId="7A67B049" w14:textId="5DA1FE35" w:rsidR="00EE633D" w:rsidRPr="0034654F" w:rsidRDefault="002B19B9" w:rsidP="00F14229">
            <w:pPr>
              <w:jc w:val="both"/>
              <w:rPr>
                <w:rFonts w:eastAsia="Times New Roman" w:cs="Arial"/>
              </w:rPr>
            </w:pPr>
            <w:r>
              <w:rPr>
                <w:rFonts w:eastAsia="Times New Roman" w:cs="Arial"/>
              </w:rPr>
              <w:t xml:space="preserve">There is no public and patient involvement on the overall </w:t>
            </w:r>
            <w:proofErr w:type="gramStart"/>
            <w:r>
              <w:rPr>
                <w:rFonts w:eastAsia="Times New Roman" w:cs="Arial"/>
              </w:rPr>
              <w:t>budget</w:t>
            </w:r>
            <w:proofErr w:type="gramEnd"/>
            <w:r>
              <w:rPr>
                <w:rFonts w:eastAsia="Times New Roman" w:cs="Arial"/>
              </w:rPr>
              <w:t xml:space="preserve"> but the budget is in line with the ICP strategy which had public and patient involvement</w:t>
            </w:r>
          </w:p>
        </w:tc>
      </w:tr>
      <w:tr w:rsidR="00EE633D" w:rsidRPr="0034654F" w14:paraId="18C66C95" w14:textId="77777777" w:rsidTr="0082442F">
        <w:trPr>
          <w:gridAfter w:val="1"/>
          <w:wAfter w:w="38" w:type="dxa"/>
          <w:cantSplit/>
        </w:trPr>
        <w:tc>
          <w:tcPr>
            <w:tcW w:w="2455" w:type="dxa"/>
            <w:shd w:val="clear" w:color="auto" w:fill="F2F2F2" w:themeFill="background1" w:themeFillShade="F2"/>
          </w:tcPr>
          <w:p w14:paraId="77FC5493" w14:textId="77777777" w:rsidR="00EE633D" w:rsidRPr="0034654F" w:rsidRDefault="00EE633D" w:rsidP="00F442C2">
            <w:pPr>
              <w:rPr>
                <w:rFonts w:eastAsia="Times New Roman" w:cs="Arial"/>
                <w:b/>
              </w:rPr>
            </w:pPr>
            <w:r w:rsidRPr="0034654F">
              <w:rPr>
                <w:rFonts w:eastAsia="Times New Roman" w:cs="Arial"/>
                <w:b/>
              </w:rPr>
              <w:t>Recommendation</w:t>
            </w:r>
          </w:p>
        </w:tc>
        <w:tc>
          <w:tcPr>
            <w:tcW w:w="8285" w:type="dxa"/>
            <w:gridSpan w:val="9"/>
          </w:tcPr>
          <w:p w14:paraId="40C265D2" w14:textId="475640AE" w:rsidR="00EE633D" w:rsidRDefault="00EE633D" w:rsidP="00F14229">
            <w:pPr>
              <w:jc w:val="both"/>
              <w:rPr>
                <w:rFonts w:eastAsia="Times New Roman" w:cs="Arial"/>
              </w:rPr>
            </w:pPr>
            <w:r w:rsidRPr="0034654F">
              <w:rPr>
                <w:rFonts w:eastAsia="Times New Roman" w:cs="Arial"/>
              </w:rPr>
              <w:t>The Board is requested to</w:t>
            </w:r>
            <w:r w:rsidR="00C75985">
              <w:rPr>
                <w:rFonts w:eastAsia="Times New Roman" w:cs="Arial"/>
              </w:rPr>
              <w:t>:</w:t>
            </w:r>
          </w:p>
          <w:p w14:paraId="1038CB62" w14:textId="77777777" w:rsidR="00CE1F7D" w:rsidRPr="005F6917" w:rsidRDefault="00CE1F7D" w:rsidP="00CE1F7D">
            <w:pPr>
              <w:numPr>
                <w:ilvl w:val="0"/>
                <w:numId w:val="2"/>
              </w:numPr>
              <w:spacing w:line="240" w:lineRule="auto"/>
              <w:jc w:val="both"/>
              <w:rPr>
                <w:rFonts w:cs="Arial"/>
                <w:sz w:val="24"/>
                <w:szCs w:val="24"/>
              </w:rPr>
            </w:pPr>
            <w:r w:rsidRPr="005F6917">
              <w:rPr>
                <w:rFonts w:cs="Arial"/>
                <w:sz w:val="24"/>
                <w:szCs w:val="24"/>
              </w:rPr>
              <w:t>Approve the proposed 2023/24 budget</w:t>
            </w:r>
            <w:r>
              <w:rPr>
                <w:rFonts w:cs="Arial"/>
                <w:sz w:val="24"/>
                <w:szCs w:val="24"/>
              </w:rPr>
              <w:t xml:space="preserve">s, </w:t>
            </w:r>
            <w:proofErr w:type="gramStart"/>
            <w:r>
              <w:rPr>
                <w:rFonts w:cs="Arial"/>
                <w:sz w:val="24"/>
                <w:szCs w:val="24"/>
              </w:rPr>
              <w:t>revenue</w:t>
            </w:r>
            <w:proofErr w:type="gramEnd"/>
            <w:r>
              <w:rPr>
                <w:rFonts w:cs="Arial"/>
                <w:sz w:val="24"/>
                <w:szCs w:val="24"/>
              </w:rPr>
              <w:t xml:space="preserve"> and capital,</w:t>
            </w:r>
            <w:r w:rsidRPr="005F6917">
              <w:rPr>
                <w:rFonts w:cs="Arial"/>
                <w:sz w:val="24"/>
                <w:szCs w:val="24"/>
              </w:rPr>
              <w:t xml:space="preserve"> </w:t>
            </w:r>
            <w:r>
              <w:rPr>
                <w:rFonts w:cs="Arial"/>
                <w:sz w:val="24"/>
                <w:szCs w:val="24"/>
              </w:rPr>
              <w:t>including funding for existing schemes referenced in section 3 for Q1 whilst final decisions are made</w:t>
            </w:r>
          </w:p>
          <w:p w14:paraId="6DDF1B2E" w14:textId="77777777" w:rsidR="00CE1F7D" w:rsidRPr="005F6917" w:rsidRDefault="00CE1F7D" w:rsidP="00CE1F7D">
            <w:pPr>
              <w:numPr>
                <w:ilvl w:val="0"/>
                <w:numId w:val="2"/>
              </w:numPr>
              <w:spacing w:line="240" w:lineRule="auto"/>
              <w:jc w:val="both"/>
              <w:rPr>
                <w:rFonts w:cs="Arial"/>
                <w:sz w:val="24"/>
                <w:szCs w:val="24"/>
              </w:rPr>
            </w:pPr>
            <w:r w:rsidRPr="005F6917">
              <w:rPr>
                <w:rFonts w:cs="Arial"/>
                <w:sz w:val="24"/>
                <w:szCs w:val="24"/>
              </w:rPr>
              <w:t xml:space="preserve">Support the measures required to deliver the </w:t>
            </w:r>
            <w:r>
              <w:rPr>
                <w:rFonts w:cs="Arial"/>
                <w:sz w:val="24"/>
                <w:szCs w:val="24"/>
              </w:rPr>
              <w:t>proposed</w:t>
            </w:r>
            <w:r w:rsidRPr="005F6917">
              <w:rPr>
                <w:rFonts w:cs="Arial"/>
                <w:sz w:val="24"/>
                <w:szCs w:val="24"/>
              </w:rPr>
              <w:t xml:space="preserve"> budget and improve the overall financial sustainability of the System and ICB </w:t>
            </w:r>
          </w:p>
          <w:p w14:paraId="47EAE0FF" w14:textId="2322B6D6" w:rsidR="00AE1E07" w:rsidRPr="00A012D6" w:rsidRDefault="00CE1F7D" w:rsidP="00CE1F7D">
            <w:pPr>
              <w:pStyle w:val="text"/>
              <w:numPr>
                <w:ilvl w:val="0"/>
                <w:numId w:val="2"/>
              </w:numPr>
              <w:jc w:val="both"/>
              <w:rPr>
                <w:rFonts w:ascii="Arial" w:hAnsi="Arial"/>
                <w:sz w:val="22"/>
                <w:szCs w:val="22"/>
              </w:rPr>
            </w:pPr>
            <w:r w:rsidRPr="005F6917">
              <w:rPr>
                <w:color w:val="auto"/>
              </w:rPr>
              <w:t>Note the inherent risks within the plan</w:t>
            </w:r>
          </w:p>
        </w:tc>
      </w:tr>
      <w:tr w:rsidR="00C75985" w:rsidRPr="0034654F" w14:paraId="30BA7E73" w14:textId="77777777" w:rsidTr="0082442F">
        <w:trPr>
          <w:gridAfter w:val="1"/>
          <w:wAfter w:w="38" w:type="dxa"/>
          <w:cantSplit/>
        </w:trPr>
        <w:tc>
          <w:tcPr>
            <w:tcW w:w="2455" w:type="dxa"/>
            <w:shd w:val="clear" w:color="auto" w:fill="F2F2F2" w:themeFill="background1" w:themeFillShade="F2"/>
          </w:tcPr>
          <w:p w14:paraId="33343919" w14:textId="763835A4" w:rsidR="00C75985" w:rsidRPr="0034654F" w:rsidRDefault="00C75985" w:rsidP="00C75985">
            <w:pPr>
              <w:rPr>
                <w:rFonts w:eastAsia="Times New Roman" w:cs="Arial"/>
                <w:b/>
              </w:rPr>
            </w:pPr>
            <w:r w:rsidRPr="0034654F">
              <w:rPr>
                <w:rFonts w:eastAsia="Times New Roman" w:cs="Arial"/>
                <w:b/>
              </w:rPr>
              <w:t>Author</w:t>
            </w:r>
          </w:p>
        </w:tc>
        <w:tc>
          <w:tcPr>
            <w:tcW w:w="2540" w:type="dxa"/>
            <w:gridSpan w:val="2"/>
          </w:tcPr>
          <w:p w14:paraId="212E05A6" w14:textId="107095E9" w:rsidR="00C75985" w:rsidRPr="00805543" w:rsidRDefault="00C75985" w:rsidP="00C75985">
            <w:pPr>
              <w:rPr>
                <w:rFonts w:eastAsia="Times New Roman" w:cs="Arial"/>
                <w:b/>
                <w:bCs/>
              </w:rPr>
            </w:pPr>
          </w:p>
        </w:tc>
        <w:tc>
          <w:tcPr>
            <w:tcW w:w="1741" w:type="dxa"/>
            <w:gridSpan w:val="2"/>
            <w:shd w:val="clear" w:color="auto" w:fill="F2F2F2" w:themeFill="background1" w:themeFillShade="F2"/>
          </w:tcPr>
          <w:p w14:paraId="7D9B7F27" w14:textId="28E9DFB4" w:rsidR="00C75985" w:rsidRPr="00805543" w:rsidRDefault="00C75985" w:rsidP="00C75985">
            <w:pPr>
              <w:rPr>
                <w:rFonts w:eastAsia="Times New Roman" w:cs="Arial"/>
                <w:b/>
                <w:bCs/>
              </w:rPr>
            </w:pPr>
            <w:r w:rsidRPr="00805543">
              <w:rPr>
                <w:rFonts w:eastAsia="Times New Roman" w:cs="Arial"/>
                <w:b/>
                <w:bCs/>
              </w:rPr>
              <w:t>Role Title</w:t>
            </w:r>
          </w:p>
        </w:tc>
        <w:tc>
          <w:tcPr>
            <w:tcW w:w="4004" w:type="dxa"/>
            <w:gridSpan w:val="5"/>
          </w:tcPr>
          <w:p w14:paraId="757F53B0" w14:textId="4A33C929" w:rsidR="00C75985" w:rsidRPr="00805543" w:rsidRDefault="00C75985" w:rsidP="00C75985">
            <w:pPr>
              <w:rPr>
                <w:rFonts w:eastAsia="Times New Roman" w:cs="Arial"/>
                <w:b/>
                <w:bCs/>
              </w:rPr>
            </w:pPr>
          </w:p>
        </w:tc>
      </w:tr>
      <w:tr w:rsidR="00C75985" w:rsidRPr="0034654F" w14:paraId="5B4CFE7C" w14:textId="77777777" w:rsidTr="0082442F">
        <w:trPr>
          <w:gridAfter w:val="1"/>
          <w:wAfter w:w="38" w:type="dxa"/>
          <w:cantSplit/>
        </w:trPr>
        <w:tc>
          <w:tcPr>
            <w:tcW w:w="2455" w:type="dxa"/>
            <w:shd w:val="clear" w:color="auto" w:fill="F2F2F2" w:themeFill="background1" w:themeFillShade="F2"/>
          </w:tcPr>
          <w:p w14:paraId="26BDED6A" w14:textId="77777777" w:rsidR="00C75985" w:rsidRPr="0034654F" w:rsidRDefault="00C75985" w:rsidP="00C75985">
            <w:pPr>
              <w:rPr>
                <w:rFonts w:eastAsia="Times New Roman" w:cs="Arial"/>
                <w:b/>
              </w:rPr>
            </w:pPr>
            <w:r w:rsidRPr="0034654F">
              <w:rPr>
                <w:rFonts w:eastAsia="Times New Roman" w:cs="Arial"/>
                <w:b/>
              </w:rPr>
              <w:t>Sponsoring Director</w:t>
            </w:r>
          </w:p>
          <w:p w14:paraId="2BE42787" w14:textId="1D53525B" w:rsidR="00C75985" w:rsidRPr="0034654F" w:rsidRDefault="00C75985" w:rsidP="00C75985">
            <w:pPr>
              <w:rPr>
                <w:rFonts w:eastAsia="Times New Roman" w:cs="Arial"/>
                <w:b/>
              </w:rPr>
            </w:pPr>
            <w:r w:rsidRPr="0034654F">
              <w:rPr>
                <w:rFonts w:eastAsia="Times New Roman" w:cs="Arial"/>
                <w:b/>
              </w:rPr>
              <w:t>(</w:t>
            </w:r>
            <w:proofErr w:type="gramStart"/>
            <w:r w:rsidRPr="0034654F">
              <w:rPr>
                <w:rFonts w:eastAsia="Times New Roman" w:cs="Arial"/>
                <w:b/>
              </w:rPr>
              <w:t>if</w:t>
            </w:r>
            <w:proofErr w:type="gramEnd"/>
            <w:r w:rsidRPr="0034654F">
              <w:rPr>
                <w:rFonts w:eastAsia="Times New Roman" w:cs="Arial"/>
                <w:b/>
              </w:rPr>
              <w:t xml:space="preserve"> not author)</w:t>
            </w:r>
          </w:p>
        </w:tc>
        <w:tc>
          <w:tcPr>
            <w:tcW w:w="8285" w:type="dxa"/>
            <w:gridSpan w:val="9"/>
          </w:tcPr>
          <w:p w14:paraId="6ACD268E" w14:textId="70A5D0AD" w:rsidR="00C75985" w:rsidRPr="00A012D6" w:rsidRDefault="00A012D6" w:rsidP="00C75985">
            <w:pPr>
              <w:jc w:val="both"/>
              <w:rPr>
                <w:rFonts w:eastAsia="Times New Roman" w:cs="Arial"/>
              </w:rPr>
            </w:pPr>
            <w:r w:rsidRPr="00A012D6">
              <w:rPr>
                <w:rFonts w:eastAsia="Times New Roman" w:cs="Arial"/>
              </w:rPr>
              <w:t xml:space="preserve">Cath </w:t>
            </w:r>
            <w:proofErr w:type="spellStart"/>
            <w:r w:rsidRPr="00A012D6">
              <w:rPr>
                <w:rFonts w:eastAsia="Times New Roman" w:cs="Arial"/>
              </w:rPr>
              <w:t>Leech,</w:t>
            </w:r>
            <w:proofErr w:type="spellEnd"/>
            <w:r w:rsidRPr="00A012D6">
              <w:rPr>
                <w:rFonts w:eastAsia="Times New Roman" w:cs="Arial"/>
              </w:rPr>
              <w:t xml:space="preserve"> Chief Finance Officer</w:t>
            </w:r>
          </w:p>
        </w:tc>
      </w:tr>
    </w:tbl>
    <w:p w14:paraId="5D6B8B89" w14:textId="737B75B0" w:rsidR="006B10F8" w:rsidRDefault="006B10F8" w:rsidP="001F0224"/>
    <w:tbl>
      <w:tblPr>
        <w:tblStyle w:val="TableGrid"/>
        <w:tblW w:w="10466" w:type="dxa"/>
        <w:tblInd w:w="-5" w:type="dxa"/>
        <w:tblLook w:val="04A0" w:firstRow="1" w:lastRow="0" w:firstColumn="1" w:lastColumn="0" w:noHBand="0" w:noVBand="1"/>
      </w:tblPr>
      <w:tblGrid>
        <w:gridCol w:w="2341"/>
        <w:gridCol w:w="8125"/>
      </w:tblGrid>
      <w:tr w:rsidR="00F76178" w:rsidRPr="0093752A" w14:paraId="79DA343E" w14:textId="77777777" w:rsidTr="00F028E8">
        <w:tc>
          <w:tcPr>
            <w:tcW w:w="2341" w:type="dxa"/>
            <w:shd w:val="clear" w:color="auto" w:fill="D9D9D9" w:themeFill="background1" w:themeFillShade="D9"/>
          </w:tcPr>
          <w:p w14:paraId="039D9488" w14:textId="370B93E7" w:rsidR="00F76178" w:rsidRPr="0093752A" w:rsidRDefault="00F76178" w:rsidP="001F0224">
            <w:pPr>
              <w:rPr>
                <w:rFonts w:cs="Arial"/>
                <w:b/>
                <w:bCs/>
              </w:rPr>
            </w:pPr>
            <w:bookmarkStart w:id="0" w:name="_Hlk124854031"/>
            <w:r w:rsidRPr="0093752A">
              <w:rPr>
                <w:rFonts w:cs="Arial"/>
                <w:b/>
                <w:bCs/>
              </w:rPr>
              <w:t>Glossary of Terms</w:t>
            </w:r>
          </w:p>
        </w:tc>
        <w:tc>
          <w:tcPr>
            <w:tcW w:w="8125" w:type="dxa"/>
            <w:shd w:val="clear" w:color="auto" w:fill="D9D9D9" w:themeFill="background1" w:themeFillShade="D9"/>
          </w:tcPr>
          <w:p w14:paraId="4F57E432" w14:textId="61C4927F" w:rsidR="00F76178" w:rsidRPr="0093752A" w:rsidRDefault="00F76178" w:rsidP="001F0224">
            <w:pPr>
              <w:rPr>
                <w:rFonts w:cs="Arial"/>
                <w:b/>
                <w:bCs/>
              </w:rPr>
            </w:pPr>
            <w:r w:rsidRPr="0093752A">
              <w:rPr>
                <w:rFonts w:cs="Arial"/>
                <w:b/>
                <w:bCs/>
              </w:rPr>
              <w:t>Explanation or clarification of abbreviations used in the paper</w:t>
            </w:r>
          </w:p>
        </w:tc>
      </w:tr>
      <w:tr w:rsidR="00F76178" w:rsidRPr="0093752A" w14:paraId="656E55EC" w14:textId="77777777" w:rsidTr="00F028E8">
        <w:tc>
          <w:tcPr>
            <w:tcW w:w="2341" w:type="dxa"/>
            <w:shd w:val="clear" w:color="auto" w:fill="F2F2F2" w:themeFill="background1" w:themeFillShade="F2"/>
          </w:tcPr>
          <w:p w14:paraId="431325CF" w14:textId="6DC32618" w:rsidR="00F76178" w:rsidRPr="0093752A" w:rsidRDefault="00F76178" w:rsidP="001F0224">
            <w:pPr>
              <w:rPr>
                <w:rFonts w:cs="Arial"/>
              </w:rPr>
            </w:pPr>
            <w:r w:rsidRPr="0093752A">
              <w:rPr>
                <w:rFonts w:cs="Arial"/>
              </w:rPr>
              <w:t>ICS</w:t>
            </w:r>
          </w:p>
        </w:tc>
        <w:tc>
          <w:tcPr>
            <w:tcW w:w="8125" w:type="dxa"/>
          </w:tcPr>
          <w:p w14:paraId="509E56A2" w14:textId="37906938" w:rsidR="00F76178" w:rsidRPr="0093752A" w:rsidRDefault="00F76178" w:rsidP="001F0224">
            <w:pPr>
              <w:rPr>
                <w:rFonts w:cs="Arial"/>
              </w:rPr>
            </w:pPr>
            <w:r w:rsidRPr="0093752A">
              <w:rPr>
                <w:rFonts w:cs="Arial"/>
              </w:rPr>
              <w:t>Integrated Care System</w:t>
            </w:r>
          </w:p>
        </w:tc>
      </w:tr>
      <w:tr w:rsidR="00F76178" w:rsidRPr="0093752A" w14:paraId="0BFED8C1" w14:textId="77777777" w:rsidTr="00F028E8">
        <w:tc>
          <w:tcPr>
            <w:tcW w:w="2341" w:type="dxa"/>
            <w:shd w:val="clear" w:color="auto" w:fill="F2F2F2" w:themeFill="background1" w:themeFillShade="F2"/>
          </w:tcPr>
          <w:p w14:paraId="7713900E" w14:textId="211BB83B" w:rsidR="00F76178" w:rsidRPr="0093752A" w:rsidRDefault="00F76178" w:rsidP="001F0224">
            <w:pPr>
              <w:rPr>
                <w:rFonts w:cs="Arial"/>
              </w:rPr>
            </w:pPr>
            <w:r w:rsidRPr="0093752A">
              <w:rPr>
                <w:rFonts w:cs="Arial"/>
              </w:rPr>
              <w:t>ICB</w:t>
            </w:r>
          </w:p>
        </w:tc>
        <w:tc>
          <w:tcPr>
            <w:tcW w:w="8125" w:type="dxa"/>
          </w:tcPr>
          <w:p w14:paraId="448A62D8" w14:textId="37C04AB6" w:rsidR="00F76178" w:rsidRPr="0093752A" w:rsidRDefault="00F76178" w:rsidP="001F0224">
            <w:pPr>
              <w:rPr>
                <w:rFonts w:cs="Arial"/>
              </w:rPr>
            </w:pPr>
            <w:r w:rsidRPr="0093752A">
              <w:rPr>
                <w:rFonts w:cs="Arial"/>
              </w:rPr>
              <w:t>Integrated Care Board</w:t>
            </w:r>
          </w:p>
        </w:tc>
      </w:tr>
      <w:tr w:rsidR="00A27C68" w:rsidRPr="0093752A" w14:paraId="4552B297" w14:textId="77777777" w:rsidTr="00F028E8">
        <w:tc>
          <w:tcPr>
            <w:tcW w:w="2341" w:type="dxa"/>
            <w:shd w:val="clear" w:color="auto" w:fill="F2F2F2" w:themeFill="background1" w:themeFillShade="F2"/>
          </w:tcPr>
          <w:p w14:paraId="7E96BB20" w14:textId="1E0FEBD4" w:rsidR="00A27C68" w:rsidRPr="0093752A" w:rsidRDefault="00A27C68" w:rsidP="001F0224">
            <w:pPr>
              <w:rPr>
                <w:rFonts w:cs="Arial"/>
              </w:rPr>
            </w:pPr>
            <w:r w:rsidRPr="0093752A">
              <w:rPr>
                <w:rFonts w:cs="Arial"/>
              </w:rPr>
              <w:t>GHC</w:t>
            </w:r>
          </w:p>
        </w:tc>
        <w:tc>
          <w:tcPr>
            <w:tcW w:w="8125" w:type="dxa"/>
          </w:tcPr>
          <w:p w14:paraId="7795B521" w14:textId="7BDBCCD2" w:rsidR="00A27C68" w:rsidRPr="0093752A" w:rsidRDefault="00A27C68" w:rsidP="001F0224">
            <w:pPr>
              <w:rPr>
                <w:rFonts w:cs="Arial"/>
              </w:rPr>
            </w:pPr>
            <w:r w:rsidRPr="0093752A">
              <w:rPr>
                <w:rFonts w:cs="Arial"/>
              </w:rPr>
              <w:t>Gloucestershire Health &amp; Care Foundation Trust</w:t>
            </w:r>
          </w:p>
        </w:tc>
      </w:tr>
      <w:tr w:rsidR="00F76178" w:rsidRPr="0093752A" w14:paraId="5BB14FE5" w14:textId="77777777" w:rsidTr="00F028E8">
        <w:tc>
          <w:tcPr>
            <w:tcW w:w="2341" w:type="dxa"/>
            <w:shd w:val="clear" w:color="auto" w:fill="F2F2F2" w:themeFill="background1" w:themeFillShade="F2"/>
          </w:tcPr>
          <w:p w14:paraId="53BDD135" w14:textId="7A62848E" w:rsidR="00F76178" w:rsidRPr="0093752A" w:rsidRDefault="00F76178" w:rsidP="001F0224">
            <w:pPr>
              <w:rPr>
                <w:rFonts w:cs="Arial"/>
              </w:rPr>
            </w:pPr>
            <w:r w:rsidRPr="0093752A">
              <w:rPr>
                <w:rFonts w:cs="Arial"/>
              </w:rPr>
              <w:t>GHFT</w:t>
            </w:r>
          </w:p>
        </w:tc>
        <w:tc>
          <w:tcPr>
            <w:tcW w:w="8125" w:type="dxa"/>
          </w:tcPr>
          <w:p w14:paraId="340FC2CF" w14:textId="0AB9D45B" w:rsidR="00F76178" w:rsidRPr="0093752A" w:rsidRDefault="00F76178" w:rsidP="001F0224">
            <w:pPr>
              <w:rPr>
                <w:rFonts w:cs="Arial"/>
              </w:rPr>
            </w:pPr>
            <w:r w:rsidRPr="0093752A">
              <w:rPr>
                <w:rFonts w:cs="Arial"/>
              </w:rPr>
              <w:t>Gloucestershire Hospitals NHS Foundation Trust</w:t>
            </w:r>
          </w:p>
        </w:tc>
      </w:tr>
      <w:tr w:rsidR="00F76178" w:rsidRPr="0093752A" w14:paraId="032F5910" w14:textId="77777777" w:rsidTr="00F028E8">
        <w:tc>
          <w:tcPr>
            <w:tcW w:w="2341" w:type="dxa"/>
            <w:shd w:val="clear" w:color="auto" w:fill="F2F2F2" w:themeFill="background1" w:themeFillShade="F2"/>
          </w:tcPr>
          <w:p w14:paraId="27249FEB" w14:textId="3B0DA652" w:rsidR="00F76178" w:rsidRPr="0093752A" w:rsidRDefault="00A27C68" w:rsidP="001F0224">
            <w:pPr>
              <w:rPr>
                <w:rFonts w:cs="Arial"/>
              </w:rPr>
            </w:pPr>
            <w:r w:rsidRPr="0093752A">
              <w:rPr>
                <w:rFonts w:cs="Arial"/>
              </w:rPr>
              <w:t>GCC</w:t>
            </w:r>
          </w:p>
        </w:tc>
        <w:tc>
          <w:tcPr>
            <w:tcW w:w="8125" w:type="dxa"/>
          </w:tcPr>
          <w:p w14:paraId="4317CD64" w14:textId="38D3810D" w:rsidR="00F76178" w:rsidRPr="0093752A" w:rsidRDefault="00A27C68" w:rsidP="001F0224">
            <w:pPr>
              <w:rPr>
                <w:rFonts w:cs="Arial"/>
              </w:rPr>
            </w:pPr>
            <w:r w:rsidRPr="0093752A">
              <w:rPr>
                <w:rFonts w:cs="Arial"/>
              </w:rPr>
              <w:t>Gloucestershire County Council</w:t>
            </w:r>
          </w:p>
        </w:tc>
      </w:tr>
      <w:tr w:rsidR="00A27C68" w:rsidRPr="0093752A" w14:paraId="6CB37DC5" w14:textId="77777777" w:rsidTr="00F028E8">
        <w:tc>
          <w:tcPr>
            <w:tcW w:w="2341" w:type="dxa"/>
            <w:shd w:val="clear" w:color="auto" w:fill="F2F2F2" w:themeFill="background1" w:themeFillShade="F2"/>
          </w:tcPr>
          <w:p w14:paraId="3317D3C7" w14:textId="0735DFBF" w:rsidR="00A27C68" w:rsidRPr="0093752A" w:rsidRDefault="00A27C68" w:rsidP="001F0224">
            <w:pPr>
              <w:rPr>
                <w:rFonts w:cs="Arial"/>
              </w:rPr>
            </w:pPr>
            <w:r w:rsidRPr="0093752A">
              <w:rPr>
                <w:rFonts w:cs="Arial"/>
              </w:rPr>
              <w:t>VCSE</w:t>
            </w:r>
          </w:p>
        </w:tc>
        <w:tc>
          <w:tcPr>
            <w:tcW w:w="8125" w:type="dxa"/>
          </w:tcPr>
          <w:p w14:paraId="34243935" w14:textId="60F177FF" w:rsidR="00A27C68" w:rsidRPr="0093752A" w:rsidRDefault="00A27C68" w:rsidP="001F0224">
            <w:pPr>
              <w:rPr>
                <w:rFonts w:cs="Arial"/>
              </w:rPr>
            </w:pPr>
            <w:r w:rsidRPr="0093752A">
              <w:rPr>
                <w:rFonts w:cs="Arial"/>
              </w:rPr>
              <w:t>Voluntary, Community and Social Enterprise</w:t>
            </w:r>
          </w:p>
        </w:tc>
      </w:tr>
      <w:tr w:rsidR="003158EF" w:rsidRPr="0093752A" w14:paraId="0A3F1F2E" w14:textId="77777777" w:rsidTr="00F028E8">
        <w:tc>
          <w:tcPr>
            <w:tcW w:w="2341" w:type="dxa"/>
            <w:shd w:val="clear" w:color="auto" w:fill="F2F2F2" w:themeFill="background1" w:themeFillShade="F2"/>
          </w:tcPr>
          <w:p w14:paraId="3073791C" w14:textId="59AB207C" w:rsidR="003158EF" w:rsidRPr="0093752A" w:rsidRDefault="003158EF" w:rsidP="003158EF">
            <w:pPr>
              <w:rPr>
                <w:rFonts w:cs="Arial"/>
              </w:rPr>
            </w:pPr>
            <w:r>
              <w:rPr>
                <w:rFonts w:cs="Arial"/>
              </w:rPr>
              <w:t>RSG</w:t>
            </w:r>
          </w:p>
        </w:tc>
        <w:tc>
          <w:tcPr>
            <w:tcW w:w="8125" w:type="dxa"/>
          </w:tcPr>
          <w:p w14:paraId="58FA0282" w14:textId="1AB4E92C" w:rsidR="003158EF" w:rsidRPr="0093752A" w:rsidRDefault="003158EF" w:rsidP="003158EF">
            <w:pPr>
              <w:rPr>
                <w:rFonts w:cs="Arial"/>
              </w:rPr>
            </w:pPr>
            <w:r>
              <w:rPr>
                <w:rFonts w:eastAsia="Times New Roman"/>
              </w:rPr>
              <w:t>ICS Resources Steering Group</w:t>
            </w:r>
          </w:p>
        </w:tc>
      </w:tr>
      <w:tr w:rsidR="003158EF" w:rsidRPr="0093752A" w14:paraId="05F967F7" w14:textId="77777777" w:rsidTr="00F028E8">
        <w:tc>
          <w:tcPr>
            <w:tcW w:w="2341" w:type="dxa"/>
            <w:shd w:val="clear" w:color="auto" w:fill="F2F2F2" w:themeFill="background1" w:themeFillShade="F2"/>
          </w:tcPr>
          <w:p w14:paraId="31024372" w14:textId="49789205" w:rsidR="003158EF" w:rsidRDefault="003158EF" w:rsidP="003158EF">
            <w:pPr>
              <w:rPr>
                <w:rFonts w:cs="Arial"/>
              </w:rPr>
            </w:pPr>
            <w:r>
              <w:rPr>
                <w:rFonts w:cs="Arial"/>
              </w:rPr>
              <w:t>NHSE</w:t>
            </w:r>
          </w:p>
        </w:tc>
        <w:tc>
          <w:tcPr>
            <w:tcW w:w="8125" w:type="dxa"/>
          </w:tcPr>
          <w:p w14:paraId="3EE22D87" w14:textId="4C1632FD" w:rsidR="003158EF" w:rsidRPr="002E2870" w:rsidRDefault="003158EF" w:rsidP="003158EF">
            <w:pPr>
              <w:rPr>
                <w:rFonts w:eastAsia="Times New Roman"/>
              </w:rPr>
            </w:pPr>
            <w:r>
              <w:t>NHS England</w:t>
            </w:r>
          </w:p>
        </w:tc>
      </w:tr>
      <w:bookmarkEnd w:id="0"/>
    </w:tbl>
    <w:p w14:paraId="7B7A16B6" w14:textId="24437722" w:rsidR="009C2029" w:rsidRDefault="009C2029" w:rsidP="009C2029">
      <w:pPr>
        <w:spacing w:after="220"/>
      </w:pPr>
    </w:p>
    <w:p w14:paraId="4B3E179C" w14:textId="281CA7B8" w:rsidR="00A012D6" w:rsidRDefault="00A012D6" w:rsidP="009C2029">
      <w:pPr>
        <w:spacing w:after="220"/>
      </w:pPr>
    </w:p>
    <w:p w14:paraId="6E5B14D5" w14:textId="373B2B29" w:rsidR="00A012D6" w:rsidRDefault="00A012D6">
      <w:pPr>
        <w:spacing w:line="240" w:lineRule="auto"/>
      </w:pPr>
      <w:r>
        <w:br w:type="page"/>
      </w:r>
    </w:p>
    <w:tbl>
      <w:tblPr>
        <w:tblStyle w:val="TableGrid"/>
        <w:tblW w:w="10910" w:type="dxa"/>
        <w:tblLayout w:type="fixed"/>
        <w:tblLook w:val="04A0" w:firstRow="1" w:lastRow="0" w:firstColumn="1" w:lastColumn="0" w:noHBand="0" w:noVBand="1"/>
      </w:tblPr>
      <w:tblGrid>
        <w:gridCol w:w="988"/>
        <w:gridCol w:w="9922"/>
      </w:tblGrid>
      <w:tr w:rsidR="00AE1E07" w:rsidRPr="001A194E" w14:paraId="7EE3CD20" w14:textId="77777777" w:rsidTr="00E72676">
        <w:trPr>
          <w:trHeight w:val="307"/>
        </w:trPr>
        <w:tc>
          <w:tcPr>
            <w:tcW w:w="988" w:type="dxa"/>
          </w:tcPr>
          <w:p w14:paraId="7F4238D3" w14:textId="77777777" w:rsidR="00AE1E07" w:rsidRPr="001A194E" w:rsidRDefault="00AE1E07" w:rsidP="0028025C">
            <w:pPr>
              <w:rPr>
                <w:rFonts w:cs="Arial"/>
                <w:b/>
                <w:bCs/>
                <w:sz w:val="24"/>
                <w:szCs w:val="24"/>
              </w:rPr>
            </w:pPr>
            <w:r w:rsidRPr="001A194E">
              <w:rPr>
                <w:rFonts w:cs="Arial"/>
                <w:b/>
                <w:bCs/>
                <w:sz w:val="24"/>
                <w:szCs w:val="24"/>
              </w:rPr>
              <w:t>1.0</w:t>
            </w:r>
          </w:p>
        </w:tc>
        <w:tc>
          <w:tcPr>
            <w:tcW w:w="9922" w:type="dxa"/>
          </w:tcPr>
          <w:p w14:paraId="2A8AF1C3" w14:textId="77777777" w:rsidR="00AE1E07" w:rsidRPr="001A194E" w:rsidRDefault="00AE1E07" w:rsidP="0028025C">
            <w:pPr>
              <w:rPr>
                <w:rFonts w:cs="Arial"/>
                <w:b/>
                <w:bCs/>
                <w:sz w:val="24"/>
                <w:szCs w:val="24"/>
              </w:rPr>
            </w:pPr>
            <w:r w:rsidRPr="001A194E">
              <w:rPr>
                <w:rFonts w:cs="Arial"/>
                <w:b/>
                <w:bCs/>
                <w:sz w:val="24"/>
                <w:szCs w:val="24"/>
              </w:rPr>
              <w:t>Introduction</w:t>
            </w:r>
          </w:p>
          <w:p w14:paraId="2F698A1A" w14:textId="77777777" w:rsidR="00AE1E07" w:rsidRPr="001A194E" w:rsidRDefault="00AE1E07" w:rsidP="0028025C">
            <w:pPr>
              <w:rPr>
                <w:rFonts w:cs="Arial"/>
                <w:b/>
                <w:bCs/>
                <w:sz w:val="24"/>
                <w:szCs w:val="24"/>
              </w:rPr>
            </w:pPr>
          </w:p>
        </w:tc>
      </w:tr>
      <w:tr w:rsidR="00AE1E07" w:rsidRPr="001A194E" w14:paraId="7B1FC38C" w14:textId="77777777" w:rsidTr="00E72676">
        <w:trPr>
          <w:trHeight w:val="1743"/>
        </w:trPr>
        <w:tc>
          <w:tcPr>
            <w:tcW w:w="988" w:type="dxa"/>
          </w:tcPr>
          <w:p w14:paraId="044141FC" w14:textId="77777777" w:rsidR="00AE1E07" w:rsidRPr="001A194E" w:rsidRDefault="00AE1E07" w:rsidP="0028025C">
            <w:pPr>
              <w:rPr>
                <w:rFonts w:cs="Arial"/>
                <w:bCs/>
                <w:sz w:val="24"/>
                <w:szCs w:val="24"/>
              </w:rPr>
            </w:pPr>
          </w:p>
        </w:tc>
        <w:tc>
          <w:tcPr>
            <w:tcW w:w="9922" w:type="dxa"/>
          </w:tcPr>
          <w:p w14:paraId="568D0FAD" w14:textId="3F59A83E" w:rsidR="00AE1E07" w:rsidRPr="001A194E" w:rsidRDefault="00AE1E07" w:rsidP="0028025C">
            <w:pPr>
              <w:tabs>
                <w:tab w:val="left" w:pos="8080"/>
              </w:tabs>
              <w:jc w:val="both"/>
              <w:rPr>
                <w:rFonts w:cs="Arial"/>
                <w:sz w:val="24"/>
                <w:szCs w:val="24"/>
                <w:lang w:val="en-US"/>
              </w:rPr>
            </w:pPr>
            <w:r w:rsidRPr="001A194E">
              <w:rPr>
                <w:rFonts w:cs="Arial"/>
                <w:sz w:val="24"/>
                <w:szCs w:val="24"/>
                <w:lang w:val="en-US"/>
              </w:rPr>
              <w:t xml:space="preserve">This paper outlines the </w:t>
            </w:r>
            <w:r w:rsidR="00E72676" w:rsidRPr="001A194E">
              <w:rPr>
                <w:rFonts w:cs="Arial"/>
                <w:sz w:val="24"/>
                <w:szCs w:val="24"/>
                <w:lang w:val="en-US"/>
              </w:rPr>
              <w:t>proposed 2023/24 budget for the ICB</w:t>
            </w:r>
            <w:r w:rsidRPr="001A194E">
              <w:rPr>
                <w:rFonts w:cs="Arial"/>
                <w:sz w:val="24"/>
                <w:szCs w:val="24"/>
                <w:lang w:val="en-US"/>
              </w:rPr>
              <w:t xml:space="preserve">.  </w:t>
            </w:r>
          </w:p>
          <w:p w14:paraId="67510719" w14:textId="77777777" w:rsidR="002B19B9" w:rsidRPr="001A194E" w:rsidRDefault="002B19B9" w:rsidP="0028025C">
            <w:pPr>
              <w:tabs>
                <w:tab w:val="left" w:pos="8080"/>
              </w:tabs>
              <w:jc w:val="both"/>
              <w:rPr>
                <w:rFonts w:cs="Arial"/>
                <w:sz w:val="24"/>
                <w:szCs w:val="24"/>
                <w:lang w:val="en-US"/>
              </w:rPr>
            </w:pPr>
          </w:p>
          <w:p w14:paraId="420C8D37" w14:textId="37A84934" w:rsidR="00E72676" w:rsidRPr="001A194E" w:rsidRDefault="00E72676" w:rsidP="00E72676">
            <w:pPr>
              <w:tabs>
                <w:tab w:val="left" w:pos="8080"/>
              </w:tabs>
              <w:jc w:val="both"/>
              <w:rPr>
                <w:rFonts w:cs="Arial"/>
                <w:sz w:val="24"/>
                <w:szCs w:val="24"/>
                <w:lang w:val="en-US"/>
              </w:rPr>
            </w:pPr>
            <w:r w:rsidRPr="001A194E">
              <w:rPr>
                <w:rFonts w:cs="Arial"/>
                <w:sz w:val="24"/>
                <w:szCs w:val="24"/>
                <w:lang w:val="en-US"/>
              </w:rPr>
              <w:t xml:space="preserve">The ICB submitted a draft plan to NHS England as part of a wider system plan on the </w:t>
            </w:r>
            <w:proofErr w:type="gramStart"/>
            <w:r w:rsidRPr="001A194E">
              <w:rPr>
                <w:rFonts w:cs="Arial"/>
                <w:sz w:val="24"/>
                <w:szCs w:val="24"/>
                <w:lang w:val="en-US"/>
              </w:rPr>
              <w:t>23</w:t>
            </w:r>
            <w:r w:rsidRPr="001A194E">
              <w:rPr>
                <w:rFonts w:cs="Arial"/>
                <w:sz w:val="24"/>
                <w:szCs w:val="24"/>
                <w:vertAlign w:val="superscript"/>
                <w:lang w:val="en-US"/>
              </w:rPr>
              <w:t>rd</w:t>
            </w:r>
            <w:proofErr w:type="gramEnd"/>
            <w:r w:rsidRPr="001A194E">
              <w:rPr>
                <w:rFonts w:cs="Arial"/>
                <w:sz w:val="24"/>
                <w:szCs w:val="24"/>
                <w:lang w:val="en-US"/>
              </w:rPr>
              <w:t xml:space="preserve"> February, this showed a deficit for all </w:t>
            </w:r>
            <w:proofErr w:type="spellStart"/>
            <w:r w:rsidRPr="001A194E">
              <w:rPr>
                <w:rFonts w:cs="Arial"/>
                <w:sz w:val="24"/>
                <w:szCs w:val="24"/>
                <w:lang w:val="en-US"/>
              </w:rPr>
              <w:t>organisations</w:t>
            </w:r>
            <w:proofErr w:type="spellEnd"/>
            <w:r w:rsidRPr="001A194E">
              <w:rPr>
                <w:rFonts w:cs="Arial"/>
                <w:sz w:val="24"/>
                <w:szCs w:val="24"/>
                <w:lang w:val="en-US"/>
              </w:rPr>
              <w:t xml:space="preserve"> within the Gloucestershire system.  Further work on the plan </w:t>
            </w:r>
            <w:r w:rsidR="00957CAF" w:rsidRPr="001A194E">
              <w:rPr>
                <w:rFonts w:cs="Arial"/>
                <w:sz w:val="24"/>
                <w:szCs w:val="24"/>
                <w:lang w:val="en-US"/>
              </w:rPr>
              <w:t>h</w:t>
            </w:r>
            <w:r w:rsidRPr="001A194E">
              <w:rPr>
                <w:rFonts w:cs="Arial"/>
                <w:sz w:val="24"/>
                <w:szCs w:val="24"/>
                <w:lang w:val="en-US"/>
              </w:rPr>
              <w:t xml:space="preserve">as enabled a breakeven plan to be developed within which all Gloucestershire NHS </w:t>
            </w:r>
            <w:proofErr w:type="spellStart"/>
            <w:r w:rsidRPr="001A194E">
              <w:rPr>
                <w:rFonts w:cs="Arial"/>
                <w:sz w:val="24"/>
                <w:szCs w:val="24"/>
                <w:lang w:val="en-US"/>
              </w:rPr>
              <w:t>organisations</w:t>
            </w:r>
            <w:proofErr w:type="spellEnd"/>
            <w:r w:rsidRPr="001A194E">
              <w:rPr>
                <w:rFonts w:cs="Arial"/>
                <w:sz w:val="24"/>
                <w:szCs w:val="24"/>
                <w:lang w:val="en-US"/>
              </w:rPr>
              <w:t xml:space="preserve"> are now able to set a break-even budget.  </w:t>
            </w:r>
          </w:p>
          <w:p w14:paraId="76924A26" w14:textId="77777777" w:rsidR="00E72676" w:rsidRPr="001A194E" w:rsidRDefault="00E72676" w:rsidP="00E72676">
            <w:pPr>
              <w:tabs>
                <w:tab w:val="left" w:pos="8080"/>
              </w:tabs>
              <w:jc w:val="both"/>
              <w:rPr>
                <w:rFonts w:cs="Arial"/>
                <w:sz w:val="24"/>
                <w:szCs w:val="24"/>
                <w:lang w:val="en-US"/>
              </w:rPr>
            </w:pPr>
          </w:p>
          <w:p w14:paraId="65338578" w14:textId="67045F43" w:rsidR="00E72676" w:rsidRPr="001A194E" w:rsidRDefault="00E72676" w:rsidP="00E72676">
            <w:pPr>
              <w:tabs>
                <w:tab w:val="left" w:pos="8080"/>
              </w:tabs>
              <w:jc w:val="both"/>
              <w:rPr>
                <w:rFonts w:cs="Arial"/>
                <w:sz w:val="24"/>
                <w:szCs w:val="24"/>
                <w:lang w:val="en-US"/>
              </w:rPr>
            </w:pPr>
            <w:r w:rsidRPr="001A194E">
              <w:rPr>
                <w:rFonts w:cs="Arial"/>
                <w:sz w:val="24"/>
                <w:szCs w:val="24"/>
                <w:lang w:val="en-US"/>
              </w:rPr>
              <w:t xml:space="preserve">Strict financial control and monitoring will need to be maintained during the year within the Gloucestershire NHS System and across all budget areas within the ICB </w:t>
            </w:r>
            <w:proofErr w:type="gramStart"/>
            <w:r w:rsidRPr="001A194E">
              <w:rPr>
                <w:rFonts w:cs="Arial"/>
                <w:sz w:val="24"/>
                <w:szCs w:val="24"/>
                <w:lang w:val="en-US"/>
              </w:rPr>
              <w:t>in order to</w:t>
            </w:r>
            <w:proofErr w:type="gramEnd"/>
            <w:r w:rsidRPr="001A194E">
              <w:rPr>
                <w:rFonts w:cs="Arial"/>
                <w:sz w:val="24"/>
                <w:szCs w:val="24"/>
                <w:lang w:val="en-US"/>
              </w:rPr>
              <w:t xml:space="preserve"> deliver the planned system changes.  </w:t>
            </w:r>
          </w:p>
          <w:p w14:paraId="2DC78500" w14:textId="77777777" w:rsidR="00957CAF" w:rsidRPr="001A194E" w:rsidRDefault="00957CAF" w:rsidP="00E72676">
            <w:pPr>
              <w:tabs>
                <w:tab w:val="left" w:pos="8080"/>
              </w:tabs>
              <w:jc w:val="both"/>
              <w:rPr>
                <w:rFonts w:cs="Arial"/>
                <w:sz w:val="24"/>
                <w:szCs w:val="24"/>
                <w:lang w:val="en-US"/>
              </w:rPr>
            </w:pPr>
          </w:p>
          <w:p w14:paraId="04943B91" w14:textId="77777777" w:rsidR="00E72676" w:rsidRPr="001A194E" w:rsidRDefault="00E72676" w:rsidP="00E72676">
            <w:pPr>
              <w:tabs>
                <w:tab w:val="left" w:pos="8080"/>
              </w:tabs>
              <w:jc w:val="both"/>
              <w:rPr>
                <w:rFonts w:cs="Arial"/>
                <w:sz w:val="24"/>
                <w:szCs w:val="24"/>
                <w:lang w:val="en-US"/>
              </w:rPr>
            </w:pPr>
            <w:r w:rsidRPr="001A194E">
              <w:rPr>
                <w:rFonts w:cs="Arial"/>
                <w:sz w:val="24"/>
                <w:szCs w:val="24"/>
                <w:lang w:val="en-US"/>
              </w:rPr>
              <w:t>A financial framework for the ICS is in place for 2023/24 and further development will be undertaken to build on this based on the 2022/23 year.</w:t>
            </w:r>
          </w:p>
          <w:p w14:paraId="483B2408" w14:textId="77777777" w:rsidR="00AE1E07" w:rsidRPr="001A194E" w:rsidRDefault="00AE1E07" w:rsidP="0028025C">
            <w:pPr>
              <w:tabs>
                <w:tab w:val="left" w:pos="8080"/>
              </w:tabs>
              <w:jc w:val="both"/>
              <w:rPr>
                <w:rFonts w:cs="Arial"/>
                <w:sz w:val="24"/>
                <w:szCs w:val="24"/>
                <w:lang w:val="en-US"/>
              </w:rPr>
            </w:pPr>
          </w:p>
          <w:p w14:paraId="3E8A773C" w14:textId="610D1F86" w:rsidR="002B19B9" w:rsidRPr="002B19B9" w:rsidRDefault="002B19B9" w:rsidP="002B19B9">
            <w:pPr>
              <w:tabs>
                <w:tab w:val="left" w:pos="8080"/>
              </w:tabs>
              <w:jc w:val="both"/>
              <w:rPr>
                <w:rFonts w:cs="Arial"/>
                <w:sz w:val="24"/>
                <w:szCs w:val="24"/>
                <w:lang w:val="en-US"/>
              </w:rPr>
            </w:pPr>
            <w:r w:rsidRPr="002B19B9">
              <w:rPr>
                <w:rFonts w:cs="Arial"/>
                <w:sz w:val="24"/>
                <w:szCs w:val="24"/>
                <w:lang w:val="en-US"/>
              </w:rPr>
              <w:t xml:space="preserve">The Gloucestershire NHS System has worked jointly to develop a budget focusing on delivery of the System joint operational plan with a focus on System rather than individual </w:t>
            </w:r>
            <w:proofErr w:type="spellStart"/>
            <w:r w:rsidRPr="002B19B9">
              <w:rPr>
                <w:rFonts w:cs="Arial"/>
                <w:sz w:val="24"/>
                <w:szCs w:val="24"/>
                <w:lang w:val="en-US"/>
              </w:rPr>
              <w:t>organisational</w:t>
            </w:r>
            <w:proofErr w:type="spellEnd"/>
            <w:r w:rsidRPr="002B19B9">
              <w:rPr>
                <w:rFonts w:cs="Arial"/>
                <w:sz w:val="24"/>
                <w:szCs w:val="24"/>
                <w:lang w:val="en-US"/>
              </w:rPr>
              <w:t xml:space="preserve"> positions within this.</w:t>
            </w:r>
          </w:p>
          <w:p w14:paraId="4F7F32A4" w14:textId="77777777" w:rsidR="002B19B9" w:rsidRDefault="002B19B9" w:rsidP="002B19B9">
            <w:pPr>
              <w:tabs>
                <w:tab w:val="left" w:pos="8080"/>
              </w:tabs>
              <w:jc w:val="both"/>
              <w:rPr>
                <w:rFonts w:cs="Arial"/>
                <w:lang w:val="en-US"/>
              </w:rPr>
            </w:pPr>
          </w:p>
          <w:p w14:paraId="2248BBD2" w14:textId="77777777" w:rsidR="00AE1E07" w:rsidRPr="001A194E" w:rsidRDefault="00AE1E07" w:rsidP="0028025C">
            <w:pPr>
              <w:rPr>
                <w:rFonts w:cs="Arial"/>
                <w:bCs/>
                <w:sz w:val="24"/>
                <w:szCs w:val="24"/>
              </w:rPr>
            </w:pPr>
            <w:r w:rsidRPr="001A194E">
              <w:rPr>
                <w:rFonts w:cs="Arial"/>
                <w:bCs/>
                <w:sz w:val="24"/>
                <w:szCs w:val="24"/>
              </w:rPr>
              <w:t xml:space="preserve">The budget has been built from expenditure forecasts and includes plans to deliver better value from the funding allocated.  </w:t>
            </w:r>
          </w:p>
          <w:p w14:paraId="5B5A391C" w14:textId="77777777" w:rsidR="00AE1E07" w:rsidRPr="001A194E" w:rsidRDefault="00AE1E07" w:rsidP="0028025C">
            <w:pPr>
              <w:rPr>
                <w:rFonts w:cs="Arial"/>
                <w:bCs/>
                <w:sz w:val="24"/>
                <w:szCs w:val="24"/>
              </w:rPr>
            </w:pPr>
          </w:p>
          <w:p w14:paraId="2F4DCE80" w14:textId="12D80365" w:rsidR="00AE1E07" w:rsidRPr="00CE1F7D" w:rsidRDefault="00AE1E07" w:rsidP="0028025C">
            <w:pPr>
              <w:rPr>
                <w:rFonts w:cs="Arial"/>
                <w:bCs/>
                <w:color w:val="FF0000"/>
                <w:sz w:val="24"/>
                <w:szCs w:val="24"/>
              </w:rPr>
            </w:pPr>
            <w:r w:rsidRPr="001A194E">
              <w:rPr>
                <w:rFonts w:cs="Arial"/>
                <w:bCs/>
                <w:sz w:val="24"/>
                <w:szCs w:val="24"/>
              </w:rPr>
              <w:t xml:space="preserve">The </w:t>
            </w:r>
            <w:r w:rsidR="00957CAF" w:rsidRPr="001A194E">
              <w:rPr>
                <w:rFonts w:cs="Arial"/>
                <w:bCs/>
                <w:sz w:val="24"/>
                <w:szCs w:val="24"/>
              </w:rPr>
              <w:t>proposed</w:t>
            </w:r>
            <w:r w:rsidRPr="001A194E">
              <w:rPr>
                <w:rFonts w:cs="Arial"/>
                <w:bCs/>
                <w:sz w:val="24"/>
                <w:szCs w:val="24"/>
              </w:rPr>
              <w:t xml:space="preserve"> </w:t>
            </w:r>
            <w:r w:rsidRPr="00336B1B">
              <w:rPr>
                <w:rFonts w:cs="Arial"/>
                <w:bCs/>
                <w:sz w:val="24"/>
                <w:szCs w:val="24"/>
              </w:rPr>
              <w:t>budget is at Appendix 1.</w:t>
            </w:r>
          </w:p>
          <w:p w14:paraId="56F7CA7B" w14:textId="77777777" w:rsidR="00AE1E07" w:rsidRPr="001A194E" w:rsidRDefault="00AE1E07" w:rsidP="0028025C">
            <w:pPr>
              <w:pStyle w:val="Default"/>
              <w:jc w:val="both"/>
              <w:rPr>
                <w:rFonts w:ascii="Arial" w:hAnsi="Arial" w:cs="Arial"/>
                <w:bCs/>
              </w:rPr>
            </w:pPr>
          </w:p>
        </w:tc>
      </w:tr>
      <w:tr w:rsidR="00AE1E07" w:rsidRPr="001A194E" w14:paraId="2C636D58" w14:textId="77777777" w:rsidTr="00E72676">
        <w:tc>
          <w:tcPr>
            <w:tcW w:w="988" w:type="dxa"/>
            <w:tcBorders>
              <w:bottom w:val="single" w:sz="4" w:space="0" w:color="auto"/>
            </w:tcBorders>
          </w:tcPr>
          <w:p w14:paraId="0C9DBD29" w14:textId="77777777" w:rsidR="00AE1E07" w:rsidRPr="001A194E" w:rsidRDefault="00AE1E07" w:rsidP="0028025C">
            <w:pPr>
              <w:rPr>
                <w:rFonts w:cs="Arial"/>
                <w:b/>
                <w:bCs/>
                <w:sz w:val="24"/>
                <w:szCs w:val="24"/>
              </w:rPr>
            </w:pPr>
            <w:r w:rsidRPr="001A194E">
              <w:rPr>
                <w:rFonts w:cs="Arial"/>
                <w:b/>
                <w:bCs/>
                <w:sz w:val="24"/>
                <w:szCs w:val="24"/>
              </w:rPr>
              <w:t>2.0</w:t>
            </w:r>
          </w:p>
        </w:tc>
        <w:tc>
          <w:tcPr>
            <w:tcW w:w="9922" w:type="dxa"/>
            <w:tcBorders>
              <w:bottom w:val="single" w:sz="4" w:space="0" w:color="auto"/>
            </w:tcBorders>
          </w:tcPr>
          <w:p w14:paraId="1A6E8592" w14:textId="77777777" w:rsidR="00AE1E07" w:rsidRPr="001A194E" w:rsidRDefault="00AE1E07" w:rsidP="0028025C">
            <w:pPr>
              <w:rPr>
                <w:rFonts w:cs="Arial"/>
                <w:b/>
                <w:bCs/>
                <w:sz w:val="24"/>
                <w:szCs w:val="24"/>
              </w:rPr>
            </w:pPr>
            <w:r w:rsidRPr="001A194E">
              <w:rPr>
                <w:rFonts w:cs="Arial"/>
                <w:b/>
                <w:bCs/>
                <w:sz w:val="24"/>
                <w:szCs w:val="24"/>
              </w:rPr>
              <w:t>Resources</w:t>
            </w:r>
          </w:p>
          <w:p w14:paraId="1D06E3F2" w14:textId="77777777" w:rsidR="00AE1E07" w:rsidRPr="001A194E" w:rsidRDefault="00AE1E07" w:rsidP="0028025C">
            <w:pPr>
              <w:rPr>
                <w:rFonts w:cs="Arial"/>
                <w:b/>
                <w:bCs/>
                <w:sz w:val="24"/>
                <w:szCs w:val="24"/>
              </w:rPr>
            </w:pPr>
          </w:p>
        </w:tc>
      </w:tr>
      <w:tr w:rsidR="00AE1E07" w:rsidRPr="001A194E" w14:paraId="341F6A64" w14:textId="77777777" w:rsidTr="00E72676">
        <w:tc>
          <w:tcPr>
            <w:tcW w:w="988" w:type="dxa"/>
            <w:tcBorders>
              <w:bottom w:val="nil"/>
            </w:tcBorders>
          </w:tcPr>
          <w:p w14:paraId="7D6685CF" w14:textId="77777777" w:rsidR="00AE1E07" w:rsidRPr="001A194E" w:rsidRDefault="00AE1E07" w:rsidP="0028025C">
            <w:pPr>
              <w:rPr>
                <w:rFonts w:cs="Arial"/>
                <w:b/>
                <w:bCs/>
                <w:sz w:val="24"/>
                <w:szCs w:val="24"/>
              </w:rPr>
            </w:pPr>
          </w:p>
        </w:tc>
        <w:tc>
          <w:tcPr>
            <w:tcW w:w="9922" w:type="dxa"/>
            <w:tcBorders>
              <w:bottom w:val="nil"/>
            </w:tcBorders>
          </w:tcPr>
          <w:p w14:paraId="612842EB" w14:textId="405E1D21" w:rsidR="00AE1E07" w:rsidRPr="001A194E" w:rsidRDefault="00AE1E07" w:rsidP="0028025C">
            <w:pPr>
              <w:rPr>
                <w:rFonts w:cs="Arial"/>
                <w:bCs/>
                <w:noProof/>
                <w:sz w:val="24"/>
                <w:szCs w:val="24"/>
              </w:rPr>
            </w:pPr>
            <w:r w:rsidRPr="001A194E">
              <w:rPr>
                <w:rFonts w:cs="Arial"/>
                <w:bCs/>
                <w:sz w:val="24"/>
                <w:szCs w:val="24"/>
              </w:rPr>
              <w:t xml:space="preserve">The System has been issued with allocations for the full year of </w:t>
            </w:r>
            <w:r w:rsidR="00957CAF" w:rsidRPr="001A194E">
              <w:rPr>
                <w:rFonts w:cs="Arial"/>
                <w:bCs/>
                <w:sz w:val="24"/>
                <w:szCs w:val="24"/>
              </w:rPr>
              <w:t>2023/24</w:t>
            </w:r>
            <w:r w:rsidRPr="001A194E">
              <w:rPr>
                <w:rFonts w:cs="Arial"/>
                <w:bCs/>
                <w:sz w:val="24"/>
                <w:szCs w:val="24"/>
              </w:rPr>
              <w:t xml:space="preserve">.  </w:t>
            </w:r>
          </w:p>
          <w:p w14:paraId="609C20CA" w14:textId="77777777" w:rsidR="00AE1E07" w:rsidRPr="001A194E" w:rsidRDefault="00AE1E07" w:rsidP="0028025C">
            <w:pPr>
              <w:rPr>
                <w:rFonts w:cs="Arial"/>
                <w:bCs/>
                <w:sz w:val="24"/>
                <w:szCs w:val="24"/>
              </w:rPr>
            </w:pPr>
          </w:p>
          <w:tbl>
            <w:tblPr>
              <w:tblStyle w:val="TableGrid"/>
              <w:tblW w:w="0" w:type="auto"/>
              <w:tblLayout w:type="fixed"/>
              <w:tblLook w:val="04A0" w:firstRow="1" w:lastRow="0" w:firstColumn="1" w:lastColumn="0" w:noHBand="0" w:noVBand="1"/>
            </w:tblPr>
            <w:tblGrid>
              <w:gridCol w:w="7398"/>
              <w:gridCol w:w="1701"/>
            </w:tblGrid>
            <w:tr w:rsidR="00AE1E07" w:rsidRPr="001A194E" w14:paraId="36922D01" w14:textId="77777777" w:rsidTr="00957CAF">
              <w:tc>
                <w:tcPr>
                  <w:tcW w:w="7398" w:type="dxa"/>
                </w:tcPr>
                <w:p w14:paraId="1D57DE0E" w14:textId="77777777" w:rsidR="00AE1E07" w:rsidRPr="001A194E" w:rsidRDefault="00AE1E07" w:rsidP="0028025C">
                  <w:pPr>
                    <w:jc w:val="center"/>
                    <w:rPr>
                      <w:rFonts w:cs="Arial"/>
                      <w:bCs/>
                      <w:sz w:val="24"/>
                      <w:szCs w:val="24"/>
                    </w:rPr>
                  </w:pPr>
                </w:p>
              </w:tc>
              <w:tc>
                <w:tcPr>
                  <w:tcW w:w="1701" w:type="dxa"/>
                </w:tcPr>
                <w:p w14:paraId="4EEE7A0E" w14:textId="00FC878B" w:rsidR="00AE1E07" w:rsidRPr="001A194E" w:rsidRDefault="00AE1E07" w:rsidP="0028025C">
                  <w:pPr>
                    <w:jc w:val="center"/>
                    <w:rPr>
                      <w:rFonts w:cs="Arial"/>
                      <w:bCs/>
                      <w:sz w:val="24"/>
                      <w:szCs w:val="24"/>
                    </w:rPr>
                  </w:pPr>
                  <w:r w:rsidRPr="001A194E">
                    <w:rPr>
                      <w:rFonts w:cs="Arial"/>
                      <w:bCs/>
                      <w:sz w:val="24"/>
                      <w:szCs w:val="24"/>
                    </w:rPr>
                    <w:t>202</w:t>
                  </w:r>
                  <w:r w:rsidR="00957CAF" w:rsidRPr="001A194E">
                    <w:rPr>
                      <w:rFonts w:cs="Arial"/>
                      <w:bCs/>
                      <w:sz w:val="24"/>
                      <w:szCs w:val="24"/>
                    </w:rPr>
                    <w:t>3</w:t>
                  </w:r>
                  <w:r w:rsidRPr="001A194E">
                    <w:rPr>
                      <w:rFonts w:cs="Arial"/>
                      <w:bCs/>
                      <w:sz w:val="24"/>
                      <w:szCs w:val="24"/>
                    </w:rPr>
                    <w:t>/2</w:t>
                  </w:r>
                  <w:r w:rsidR="00957CAF" w:rsidRPr="001A194E">
                    <w:rPr>
                      <w:rFonts w:cs="Arial"/>
                      <w:bCs/>
                      <w:sz w:val="24"/>
                      <w:szCs w:val="24"/>
                    </w:rPr>
                    <w:t>4</w:t>
                  </w:r>
                </w:p>
                <w:p w14:paraId="2DCD430E" w14:textId="77777777" w:rsidR="00AE1E07" w:rsidRPr="001A194E" w:rsidRDefault="00AE1E07" w:rsidP="0028025C">
                  <w:pPr>
                    <w:jc w:val="center"/>
                    <w:rPr>
                      <w:rFonts w:cs="Arial"/>
                      <w:bCs/>
                      <w:sz w:val="24"/>
                      <w:szCs w:val="24"/>
                    </w:rPr>
                  </w:pPr>
                  <w:r w:rsidRPr="001A194E">
                    <w:rPr>
                      <w:rFonts w:cs="Arial"/>
                      <w:bCs/>
                      <w:sz w:val="24"/>
                      <w:szCs w:val="24"/>
                    </w:rPr>
                    <w:t>£m</w:t>
                  </w:r>
                </w:p>
              </w:tc>
            </w:tr>
            <w:tr w:rsidR="00AE1E07" w:rsidRPr="001A194E" w14:paraId="771C47C0" w14:textId="77777777" w:rsidTr="00957CAF">
              <w:tc>
                <w:tcPr>
                  <w:tcW w:w="7398" w:type="dxa"/>
                </w:tcPr>
                <w:p w14:paraId="20D54CB1" w14:textId="77777777" w:rsidR="00AE1E07" w:rsidRPr="001A194E" w:rsidRDefault="00AE1E07" w:rsidP="0028025C">
                  <w:pPr>
                    <w:rPr>
                      <w:rFonts w:cs="Arial"/>
                      <w:bCs/>
                      <w:sz w:val="24"/>
                      <w:szCs w:val="24"/>
                    </w:rPr>
                  </w:pPr>
                  <w:r w:rsidRPr="001A194E">
                    <w:rPr>
                      <w:rFonts w:cs="Arial"/>
                      <w:bCs/>
                      <w:sz w:val="24"/>
                      <w:szCs w:val="24"/>
                    </w:rPr>
                    <w:t>Programme allocation</w:t>
                  </w:r>
                </w:p>
                <w:p w14:paraId="31EBE729" w14:textId="77777777" w:rsidR="00AE1E07" w:rsidRPr="001A194E" w:rsidRDefault="00AE1E07" w:rsidP="0028025C">
                  <w:pPr>
                    <w:rPr>
                      <w:rFonts w:cs="Arial"/>
                      <w:bCs/>
                      <w:sz w:val="24"/>
                      <w:szCs w:val="24"/>
                    </w:rPr>
                  </w:pPr>
                  <w:r w:rsidRPr="001A194E">
                    <w:rPr>
                      <w:rFonts w:cs="Arial"/>
                      <w:bCs/>
                      <w:sz w:val="24"/>
                      <w:szCs w:val="24"/>
                    </w:rPr>
                    <w:t xml:space="preserve">(Used to commission health care services) </w:t>
                  </w:r>
                </w:p>
              </w:tc>
              <w:tc>
                <w:tcPr>
                  <w:tcW w:w="1701" w:type="dxa"/>
                  <w:vAlign w:val="bottom"/>
                </w:tcPr>
                <w:p w14:paraId="420FE6F6" w14:textId="2FE629DE" w:rsidR="00AE1E07" w:rsidRPr="001A194E" w:rsidRDefault="00957CAF" w:rsidP="0028025C">
                  <w:pPr>
                    <w:jc w:val="right"/>
                    <w:rPr>
                      <w:rFonts w:cs="Arial"/>
                      <w:bCs/>
                      <w:color w:val="000000" w:themeColor="text1"/>
                      <w:sz w:val="24"/>
                      <w:szCs w:val="24"/>
                    </w:rPr>
                  </w:pPr>
                  <w:r w:rsidRPr="001A194E">
                    <w:rPr>
                      <w:rFonts w:cs="Arial"/>
                      <w:bCs/>
                      <w:color w:val="000000" w:themeColor="text1"/>
                      <w:sz w:val="24"/>
                      <w:szCs w:val="24"/>
                    </w:rPr>
                    <w:t>1,034.4</w:t>
                  </w:r>
                </w:p>
              </w:tc>
            </w:tr>
            <w:tr w:rsidR="00957CAF" w:rsidRPr="001A194E" w14:paraId="74E22126" w14:textId="77777777" w:rsidTr="00957CAF">
              <w:tc>
                <w:tcPr>
                  <w:tcW w:w="7398" w:type="dxa"/>
                </w:tcPr>
                <w:p w14:paraId="586F8BCE" w14:textId="72F55DED" w:rsidR="00957CAF" w:rsidRPr="001A194E" w:rsidRDefault="00957CAF" w:rsidP="0028025C">
                  <w:pPr>
                    <w:rPr>
                      <w:rFonts w:cs="Arial"/>
                      <w:bCs/>
                      <w:sz w:val="24"/>
                      <w:szCs w:val="24"/>
                    </w:rPr>
                  </w:pPr>
                  <w:r w:rsidRPr="001A194E">
                    <w:rPr>
                      <w:rFonts w:cs="Arial"/>
                      <w:bCs/>
                      <w:sz w:val="24"/>
                      <w:szCs w:val="24"/>
                    </w:rPr>
                    <w:t>Pharmacy, Ophthalmology, Dental Delegated Services</w:t>
                  </w:r>
                </w:p>
              </w:tc>
              <w:tc>
                <w:tcPr>
                  <w:tcW w:w="1701" w:type="dxa"/>
                  <w:vAlign w:val="bottom"/>
                </w:tcPr>
                <w:p w14:paraId="4A533341" w14:textId="7D02BFBC" w:rsidR="00957CAF" w:rsidRPr="001A194E" w:rsidRDefault="00957CAF" w:rsidP="0028025C">
                  <w:pPr>
                    <w:jc w:val="right"/>
                    <w:rPr>
                      <w:rFonts w:cs="Arial"/>
                      <w:bCs/>
                      <w:color w:val="000000" w:themeColor="text1"/>
                      <w:sz w:val="24"/>
                      <w:szCs w:val="24"/>
                    </w:rPr>
                  </w:pPr>
                  <w:r w:rsidRPr="001A194E">
                    <w:rPr>
                      <w:rFonts w:cs="Arial"/>
                      <w:bCs/>
                      <w:color w:val="000000" w:themeColor="text1"/>
                      <w:sz w:val="24"/>
                      <w:szCs w:val="24"/>
                    </w:rPr>
                    <w:t>50.1</w:t>
                  </w:r>
                </w:p>
              </w:tc>
            </w:tr>
            <w:tr w:rsidR="00AE1E07" w:rsidRPr="001A194E" w14:paraId="369DA488" w14:textId="77777777" w:rsidTr="00957CAF">
              <w:tc>
                <w:tcPr>
                  <w:tcW w:w="7398" w:type="dxa"/>
                </w:tcPr>
                <w:p w14:paraId="12F98F88" w14:textId="77777777" w:rsidR="00AE1E07" w:rsidRPr="001A194E" w:rsidRDefault="00AE1E07" w:rsidP="0028025C">
                  <w:pPr>
                    <w:rPr>
                      <w:rFonts w:cs="Arial"/>
                      <w:bCs/>
                      <w:sz w:val="24"/>
                      <w:szCs w:val="24"/>
                    </w:rPr>
                  </w:pPr>
                  <w:r w:rsidRPr="001A194E">
                    <w:rPr>
                      <w:rFonts w:cs="Arial"/>
                      <w:bCs/>
                      <w:sz w:val="24"/>
                      <w:szCs w:val="24"/>
                    </w:rPr>
                    <w:t>Elective Recovery Funding</w:t>
                  </w:r>
                </w:p>
              </w:tc>
              <w:tc>
                <w:tcPr>
                  <w:tcW w:w="1701" w:type="dxa"/>
                  <w:vAlign w:val="bottom"/>
                </w:tcPr>
                <w:p w14:paraId="0B0414C6" w14:textId="6F403E06" w:rsidR="00AE1E07" w:rsidRPr="001A194E" w:rsidRDefault="00957CAF" w:rsidP="0028025C">
                  <w:pPr>
                    <w:jc w:val="right"/>
                    <w:rPr>
                      <w:rFonts w:cs="Arial"/>
                      <w:bCs/>
                      <w:color w:val="000000" w:themeColor="text1"/>
                      <w:sz w:val="24"/>
                      <w:szCs w:val="24"/>
                    </w:rPr>
                  </w:pPr>
                  <w:r w:rsidRPr="001A194E">
                    <w:rPr>
                      <w:rFonts w:cs="Arial"/>
                      <w:bCs/>
                      <w:color w:val="000000" w:themeColor="text1"/>
                      <w:sz w:val="24"/>
                      <w:szCs w:val="24"/>
                    </w:rPr>
                    <w:t>25.6</w:t>
                  </w:r>
                </w:p>
              </w:tc>
            </w:tr>
            <w:tr w:rsidR="00AE1E07" w:rsidRPr="001A194E" w14:paraId="4F1B5FAC" w14:textId="77777777" w:rsidTr="00957CAF">
              <w:tc>
                <w:tcPr>
                  <w:tcW w:w="7398" w:type="dxa"/>
                </w:tcPr>
                <w:p w14:paraId="58BDBC83" w14:textId="618639E7" w:rsidR="00AE1E07" w:rsidRPr="001A194E" w:rsidRDefault="00957CAF" w:rsidP="0028025C">
                  <w:pPr>
                    <w:rPr>
                      <w:rFonts w:cs="Arial"/>
                      <w:bCs/>
                      <w:sz w:val="24"/>
                      <w:szCs w:val="24"/>
                    </w:rPr>
                  </w:pPr>
                  <w:proofErr w:type="spellStart"/>
                  <w:r w:rsidRPr="001A194E">
                    <w:rPr>
                      <w:rFonts w:cs="Arial"/>
                      <w:bCs/>
                      <w:sz w:val="24"/>
                      <w:szCs w:val="24"/>
                    </w:rPr>
                    <w:t>Addnl</w:t>
                  </w:r>
                  <w:proofErr w:type="spellEnd"/>
                  <w:r w:rsidRPr="001A194E">
                    <w:rPr>
                      <w:rFonts w:cs="Arial"/>
                      <w:bCs/>
                      <w:sz w:val="24"/>
                      <w:szCs w:val="24"/>
                    </w:rPr>
                    <w:t xml:space="preserve"> physical/ virtual capacity funding</w:t>
                  </w:r>
                </w:p>
              </w:tc>
              <w:tc>
                <w:tcPr>
                  <w:tcW w:w="1701" w:type="dxa"/>
                  <w:vAlign w:val="bottom"/>
                </w:tcPr>
                <w:p w14:paraId="01F5D5E5" w14:textId="2F9386BC" w:rsidR="00AE1E07" w:rsidRPr="001A194E" w:rsidRDefault="00957CAF" w:rsidP="0028025C">
                  <w:pPr>
                    <w:jc w:val="right"/>
                    <w:rPr>
                      <w:rFonts w:cs="Arial"/>
                      <w:bCs/>
                      <w:color w:val="000000" w:themeColor="text1"/>
                      <w:sz w:val="24"/>
                      <w:szCs w:val="24"/>
                    </w:rPr>
                  </w:pPr>
                  <w:r w:rsidRPr="001A194E">
                    <w:rPr>
                      <w:rFonts w:cs="Arial"/>
                      <w:bCs/>
                      <w:color w:val="000000" w:themeColor="text1"/>
                      <w:sz w:val="24"/>
                      <w:szCs w:val="24"/>
                    </w:rPr>
                    <w:t>9.4</w:t>
                  </w:r>
                </w:p>
              </w:tc>
            </w:tr>
            <w:tr w:rsidR="00957CAF" w:rsidRPr="001A194E" w14:paraId="1ADB6BCE" w14:textId="77777777" w:rsidTr="00957CAF">
              <w:tc>
                <w:tcPr>
                  <w:tcW w:w="7398" w:type="dxa"/>
                </w:tcPr>
                <w:p w14:paraId="6E0C6CF9" w14:textId="48021B69" w:rsidR="00957CAF" w:rsidRPr="001A194E" w:rsidRDefault="00957CAF" w:rsidP="0028025C">
                  <w:pPr>
                    <w:rPr>
                      <w:rFonts w:cs="Arial"/>
                      <w:bCs/>
                      <w:sz w:val="24"/>
                      <w:szCs w:val="24"/>
                    </w:rPr>
                  </w:pPr>
                  <w:r w:rsidRPr="001A194E">
                    <w:rPr>
                      <w:rFonts w:cs="Arial"/>
                      <w:bCs/>
                      <w:sz w:val="24"/>
                      <w:szCs w:val="24"/>
                    </w:rPr>
                    <w:t>Additional Discharge Funding</w:t>
                  </w:r>
                </w:p>
              </w:tc>
              <w:tc>
                <w:tcPr>
                  <w:tcW w:w="1701" w:type="dxa"/>
                  <w:vAlign w:val="bottom"/>
                </w:tcPr>
                <w:p w14:paraId="6DBD8670" w14:textId="6F06971E" w:rsidR="00957CAF" w:rsidRPr="001A194E" w:rsidRDefault="00957CAF" w:rsidP="0028025C">
                  <w:pPr>
                    <w:jc w:val="right"/>
                    <w:rPr>
                      <w:rFonts w:cs="Arial"/>
                      <w:bCs/>
                      <w:color w:val="000000" w:themeColor="text1"/>
                      <w:sz w:val="24"/>
                      <w:szCs w:val="24"/>
                    </w:rPr>
                  </w:pPr>
                  <w:r w:rsidRPr="001A194E">
                    <w:rPr>
                      <w:rFonts w:cs="Arial"/>
                      <w:bCs/>
                      <w:color w:val="000000" w:themeColor="text1"/>
                      <w:sz w:val="24"/>
                      <w:szCs w:val="24"/>
                    </w:rPr>
                    <w:t>4.0</w:t>
                  </w:r>
                </w:p>
              </w:tc>
            </w:tr>
            <w:tr w:rsidR="00AE1E07" w:rsidRPr="001A194E" w14:paraId="14AE3805" w14:textId="77777777" w:rsidTr="00957CAF">
              <w:tc>
                <w:tcPr>
                  <w:tcW w:w="7398" w:type="dxa"/>
                </w:tcPr>
                <w:p w14:paraId="68322D24" w14:textId="77777777" w:rsidR="00AE1E07" w:rsidRPr="001A194E" w:rsidRDefault="00AE1E07" w:rsidP="0028025C">
                  <w:pPr>
                    <w:rPr>
                      <w:rFonts w:cs="Arial"/>
                      <w:bCs/>
                      <w:sz w:val="24"/>
                      <w:szCs w:val="24"/>
                    </w:rPr>
                  </w:pPr>
                  <w:r w:rsidRPr="001A194E">
                    <w:rPr>
                      <w:rFonts w:cs="Arial"/>
                      <w:bCs/>
                      <w:sz w:val="24"/>
                      <w:szCs w:val="24"/>
                    </w:rPr>
                    <w:t>SDF Funding</w:t>
                  </w:r>
                </w:p>
              </w:tc>
              <w:tc>
                <w:tcPr>
                  <w:tcW w:w="1701" w:type="dxa"/>
                  <w:vAlign w:val="bottom"/>
                </w:tcPr>
                <w:p w14:paraId="67FA9EE2" w14:textId="78269A1D" w:rsidR="00AE1E07" w:rsidRPr="001A194E" w:rsidRDefault="00957CAF" w:rsidP="0028025C">
                  <w:pPr>
                    <w:jc w:val="right"/>
                    <w:rPr>
                      <w:rFonts w:cs="Arial"/>
                      <w:bCs/>
                      <w:color w:val="000000" w:themeColor="text1"/>
                      <w:sz w:val="24"/>
                      <w:szCs w:val="24"/>
                    </w:rPr>
                  </w:pPr>
                  <w:r w:rsidRPr="001A194E">
                    <w:rPr>
                      <w:rFonts w:cs="Arial"/>
                      <w:bCs/>
                      <w:color w:val="000000" w:themeColor="text1"/>
                      <w:sz w:val="24"/>
                      <w:szCs w:val="24"/>
                    </w:rPr>
                    <w:t>1</w:t>
                  </w:r>
                  <w:r w:rsidR="00335FA9">
                    <w:rPr>
                      <w:rFonts w:cs="Arial"/>
                      <w:bCs/>
                      <w:color w:val="000000" w:themeColor="text1"/>
                      <w:sz w:val="24"/>
                      <w:szCs w:val="24"/>
                    </w:rPr>
                    <w:t>6.1</w:t>
                  </w:r>
                </w:p>
              </w:tc>
            </w:tr>
            <w:tr w:rsidR="00AE1E07" w:rsidRPr="001A194E" w14:paraId="3A581FF2" w14:textId="77777777" w:rsidTr="00957CAF">
              <w:tc>
                <w:tcPr>
                  <w:tcW w:w="7398" w:type="dxa"/>
                </w:tcPr>
                <w:p w14:paraId="7AA7CB37" w14:textId="77777777" w:rsidR="00AE1E07" w:rsidRPr="001A194E" w:rsidRDefault="00AE1E07" w:rsidP="0028025C">
                  <w:pPr>
                    <w:rPr>
                      <w:rFonts w:cs="Arial"/>
                      <w:bCs/>
                      <w:sz w:val="24"/>
                      <w:szCs w:val="24"/>
                    </w:rPr>
                  </w:pPr>
                  <w:r w:rsidRPr="001A194E">
                    <w:rPr>
                      <w:rFonts w:cs="Arial"/>
                      <w:bCs/>
                      <w:sz w:val="24"/>
                      <w:szCs w:val="24"/>
                    </w:rPr>
                    <w:t xml:space="preserve">Primary care services allocation </w:t>
                  </w:r>
                </w:p>
              </w:tc>
              <w:tc>
                <w:tcPr>
                  <w:tcW w:w="1701" w:type="dxa"/>
                  <w:vAlign w:val="bottom"/>
                </w:tcPr>
                <w:p w14:paraId="122BEE0D" w14:textId="406904DE" w:rsidR="00AE1E07" w:rsidRPr="001A194E" w:rsidRDefault="00AE1E07" w:rsidP="0028025C">
                  <w:pPr>
                    <w:jc w:val="right"/>
                    <w:rPr>
                      <w:rFonts w:cs="Arial"/>
                      <w:bCs/>
                      <w:color w:val="000000" w:themeColor="text1"/>
                      <w:sz w:val="24"/>
                      <w:szCs w:val="24"/>
                    </w:rPr>
                  </w:pPr>
                  <w:r w:rsidRPr="001A194E">
                    <w:rPr>
                      <w:rFonts w:cs="Arial"/>
                      <w:bCs/>
                      <w:color w:val="000000" w:themeColor="text1"/>
                      <w:sz w:val="24"/>
                      <w:szCs w:val="24"/>
                    </w:rPr>
                    <w:t>1</w:t>
                  </w:r>
                  <w:r w:rsidR="00957CAF" w:rsidRPr="001A194E">
                    <w:rPr>
                      <w:rFonts w:cs="Arial"/>
                      <w:bCs/>
                      <w:color w:val="000000" w:themeColor="text1"/>
                      <w:sz w:val="24"/>
                      <w:szCs w:val="24"/>
                    </w:rPr>
                    <w:t>14.1</w:t>
                  </w:r>
                </w:p>
              </w:tc>
            </w:tr>
            <w:tr w:rsidR="00AE1E07" w:rsidRPr="001A194E" w14:paraId="16DE4ABD" w14:textId="77777777" w:rsidTr="00957CAF">
              <w:tc>
                <w:tcPr>
                  <w:tcW w:w="7398" w:type="dxa"/>
                </w:tcPr>
                <w:p w14:paraId="61CE5BBB" w14:textId="77777777" w:rsidR="00AE1E07" w:rsidRPr="001A194E" w:rsidRDefault="00AE1E07" w:rsidP="0028025C">
                  <w:pPr>
                    <w:rPr>
                      <w:rFonts w:cs="Arial"/>
                      <w:bCs/>
                      <w:sz w:val="24"/>
                      <w:szCs w:val="24"/>
                    </w:rPr>
                  </w:pPr>
                  <w:r w:rsidRPr="001A194E">
                    <w:rPr>
                      <w:rFonts w:cs="Arial"/>
                      <w:bCs/>
                      <w:sz w:val="24"/>
                      <w:szCs w:val="24"/>
                    </w:rPr>
                    <w:t>Running Cost Allocation</w:t>
                  </w:r>
                </w:p>
              </w:tc>
              <w:tc>
                <w:tcPr>
                  <w:tcW w:w="1701" w:type="dxa"/>
                  <w:vAlign w:val="bottom"/>
                </w:tcPr>
                <w:p w14:paraId="44A20673" w14:textId="7AC604D9" w:rsidR="00AE1E07" w:rsidRPr="001A194E" w:rsidRDefault="00AE1E07" w:rsidP="0028025C">
                  <w:pPr>
                    <w:jc w:val="right"/>
                    <w:rPr>
                      <w:rFonts w:cs="Arial"/>
                      <w:bCs/>
                      <w:color w:val="000000" w:themeColor="text1"/>
                      <w:sz w:val="24"/>
                      <w:szCs w:val="24"/>
                    </w:rPr>
                  </w:pPr>
                  <w:r w:rsidRPr="001A194E">
                    <w:rPr>
                      <w:rFonts w:cs="Arial"/>
                      <w:bCs/>
                      <w:color w:val="000000" w:themeColor="text1"/>
                      <w:sz w:val="24"/>
                      <w:szCs w:val="24"/>
                    </w:rPr>
                    <w:t>12.</w:t>
                  </w:r>
                  <w:r w:rsidR="00957CAF" w:rsidRPr="001A194E">
                    <w:rPr>
                      <w:rFonts w:cs="Arial"/>
                      <w:bCs/>
                      <w:color w:val="000000" w:themeColor="text1"/>
                      <w:sz w:val="24"/>
                      <w:szCs w:val="24"/>
                    </w:rPr>
                    <w:t>1</w:t>
                  </w:r>
                </w:p>
              </w:tc>
            </w:tr>
            <w:tr w:rsidR="00957CAF" w:rsidRPr="001A194E" w14:paraId="56AF7737" w14:textId="77777777" w:rsidTr="00957CAF">
              <w:tc>
                <w:tcPr>
                  <w:tcW w:w="7398" w:type="dxa"/>
                </w:tcPr>
                <w:p w14:paraId="260161EB" w14:textId="4AFDDB42" w:rsidR="00957CAF" w:rsidRPr="001A194E" w:rsidRDefault="00957CAF" w:rsidP="0028025C">
                  <w:pPr>
                    <w:rPr>
                      <w:rFonts w:cs="Arial"/>
                      <w:sz w:val="24"/>
                      <w:szCs w:val="24"/>
                    </w:rPr>
                  </w:pPr>
                  <w:r w:rsidRPr="001A194E">
                    <w:rPr>
                      <w:rFonts w:cs="Arial"/>
                      <w:sz w:val="24"/>
                      <w:szCs w:val="24"/>
                    </w:rPr>
                    <w:t>Other smaller allocations</w:t>
                  </w:r>
                </w:p>
              </w:tc>
              <w:tc>
                <w:tcPr>
                  <w:tcW w:w="1701" w:type="dxa"/>
                </w:tcPr>
                <w:p w14:paraId="1E16405A" w14:textId="74E653CC" w:rsidR="00957CAF" w:rsidRPr="001A194E" w:rsidRDefault="00957CAF" w:rsidP="0028025C">
                  <w:pPr>
                    <w:jc w:val="right"/>
                    <w:rPr>
                      <w:rFonts w:cs="Arial"/>
                      <w:color w:val="000000" w:themeColor="text1"/>
                      <w:sz w:val="24"/>
                      <w:szCs w:val="24"/>
                    </w:rPr>
                  </w:pPr>
                  <w:r w:rsidRPr="001A194E">
                    <w:rPr>
                      <w:rFonts w:cs="Arial"/>
                      <w:color w:val="000000" w:themeColor="text1"/>
                      <w:sz w:val="24"/>
                      <w:szCs w:val="24"/>
                    </w:rPr>
                    <w:t>18.0</w:t>
                  </w:r>
                </w:p>
              </w:tc>
            </w:tr>
            <w:tr w:rsidR="00AE1E07" w:rsidRPr="001A194E" w14:paraId="49E3C0F3" w14:textId="77777777" w:rsidTr="00957CAF">
              <w:tc>
                <w:tcPr>
                  <w:tcW w:w="7398" w:type="dxa"/>
                </w:tcPr>
                <w:p w14:paraId="68E5E9C8" w14:textId="77777777" w:rsidR="00AE1E07" w:rsidRPr="001A194E" w:rsidRDefault="00AE1E07" w:rsidP="0028025C">
                  <w:pPr>
                    <w:rPr>
                      <w:rFonts w:cs="Arial"/>
                      <w:b/>
                      <w:bCs/>
                      <w:sz w:val="24"/>
                      <w:szCs w:val="24"/>
                    </w:rPr>
                  </w:pPr>
                  <w:r w:rsidRPr="001A194E">
                    <w:rPr>
                      <w:rFonts w:cs="Arial"/>
                      <w:b/>
                      <w:bCs/>
                      <w:sz w:val="24"/>
                      <w:szCs w:val="24"/>
                    </w:rPr>
                    <w:t xml:space="preserve">Total </w:t>
                  </w:r>
                </w:p>
              </w:tc>
              <w:tc>
                <w:tcPr>
                  <w:tcW w:w="1701" w:type="dxa"/>
                </w:tcPr>
                <w:p w14:paraId="5746958A" w14:textId="3E9B5103" w:rsidR="00AE1E07" w:rsidRPr="001A194E" w:rsidRDefault="00957CAF" w:rsidP="0028025C">
                  <w:pPr>
                    <w:jc w:val="right"/>
                    <w:rPr>
                      <w:rFonts w:cs="Arial"/>
                      <w:b/>
                      <w:bCs/>
                      <w:color w:val="000000" w:themeColor="text1"/>
                      <w:sz w:val="24"/>
                      <w:szCs w:val="24"/>
                    </w:rPr>
                  </w:pPr>
                  <w:r w:rsidRPr="001A194E">
                    <w:rPr>
                      <w:rFonts w:cs="Arial"/>
                      <w:b/>
                      <w:bCs/>
                      <w:color w:val="000000" w:themeColor="text1"/>
                      <w:sz w:val="24"/>
                      <w:szCs w:val="24"/>
                    </w:rPr>
                    <w:t>1</w:t>
                  </w:r>
                  <w:r w:rsidR="001C365A">
                    <w:rPr>
                      <w:rFonts w:cs="Arial"/>
                      <w:b/>
                      <w:bCs/>
                      <w:color w:val="000000" w:themeColor="text1"/>
                      <w:sz w:val="24"/>
                      <w:szCs w:val="24"/>
                    </w:rPr>
                    <w:t>,</w:t>
                  </w:r>
                  <w:r w:rsidRPr="001A194E">
                    <w:rPr>
                      <w:rFonts w:cs="Arial"/>
                      <w:b/>
                      <w:bCs/>
                      <w:color w:val="000000" w:themeColor="text1"/>
                      <w:sz w:val="24"/>
                      <w:szCs w:val="24"/>
                    </w:rPr>
                    <w:t>283.</w:t>
                  </w:r>
                  <w:r w:rsidR="00335FA9">
                    <w:rPr>
                      <w:rFonts w:cs="Arial"/>
                      <w:b/>
                      <w:bCs/>
                      <w:color w:val="000000" w:themeColor="text1"/>
                      <w:sz w:val="24"/>
                      <w:szCs w:val="24"/>
                    </w:rPr>
                    <w:t>8</w:t>
                  </w:r>
                </w:p>
              </w:tc>
            </w:tr>
          </w:tbl>
          <w:p w14:paraId="416E00BF" w14:textId="77777777" w:rsidR="00AE1E07" w:rsidRPr="001A194E" w:rsidRDefault="00AE1E07" w:rsidP="0028025C">
            <w:pPr>
              <w:rPr>
                <w:rFonts w:cs="Arial"/>
                <w:bCs/>
                <w:color w:val="FF0000"/>
                <w:sz w:val="24"/>
                <w:szCs w:val="24"/>
              </w:rPr>
            </w:pPr>
          </w:p>
        </w:tc>
      </w:tr>
      <w:tr w:rsidR="00AE1E07" w:rsidRPr="001A194E" w14:paraId="6BA609FC" w14:textId="77777777" w:rsidTr="00E72676">
        <w:tc>
          <w:tcPr>
            <w:tcW w:w="988" w:type="dxa"/>
            <w:tcBorders>
              <w:top w:val="nil"/>
            </w:tcBorders>
          </w:tcPr>
          <w:p w14:paraId="3441515A" w14:textId="77777777" w:rsidR="00AE1E07" w:rsidRPr="001A194E" w:rsidRDefault="00AE1E07" w:rsidP="0028025C">
            <w:pPr>
              <w:rPr>
                <w:rFonts w:cs="Arial"/>
                <w:b/>
                <w:bCs/>
                <w:sz w:val="24"/>
                <w:szCs w:val="24"/>
              </w:rPr>
            </w:pPr>
          </w:p>
        </w:tc>
        <w:tc>
          <w:tcPr>
            <w:tcW w:w="9922" w:type="dxa"/>
            <w:tcBorders>
              <w:top w:val="nil"/>
            </w:tcBorders>
          </w:tcPr>
          <w:p w14:paraId="48DAA710" w14:textId="654CB415" w:rsidR="00AE1E07" w:rsidRPr="001A194E" w:rsidRDefault="00AE1E07" w:rsidP="0028025C">
            <w:pPr>
              <w:rPr>
                <w:rFonts w:cs="Arial"/>
                <w:bCs/>
                <w:sz w:val="24"/>
                <w:szCs w:val="24"/>
              </w:rPr>
            </w:pPr>
          </w:p>
          <w:p w14:paraId="747C060D" w14:textId="49E90476" w:rsidR="001A194E" w:rsidRPr="001A194E" w:rsidRDefault="001A194E" w:rsidP="00957CAF">
            <w:pPr>
              <w:pStyle w:val="ListParagraph"/>
              <w:numPr>
                <w:ilvl w:val="0"/>
                <w:numId w:val="24"/>
              </w:numPr>
              <w:rPr>
                <w:rFonts w:cs="Arial"/>
                <w:bCs/>
                <w:sz w:val="24"/>
                <w:szCs w:val="24"/>
              </w:rPr>
            </w:pPr>
            <w:r w:rsidRPr="001A194E">
              <w:rPr>
                <w:rFonts w:cs="Arial"/>
                <w:bCs/>
                <w:sz w:val="24"/>
                <w:szCs w:val="24"/>
              </w:rPr>
              <w:t>Programme funding includes growth of 5.68% which recognises some of the increases in inflation being seen, in addition it includes an additional amount to be invested in the Mental Health Investment Standard.  Gloucestershire ICB programme funding is above its Fair Share Allocation thus a convergence factor of -0.7% has been applied to the allocation; this represents an additional savings requirement for the system.</w:t>
            </w:r>
          </w:p>
          <w:p w14:paraId="559EEC27" w14:textId="26F73369" w:rsidR="00957CAF" w:rsidRPr="001A194E" w:rsidRDefault="00957CAF" w:rsidP="00957CAF">
            <w:pPr>
              <w:pStyle w:val="ListParagraph"/>
              <w:numPr>
                <w:ilvl w:val="0"/>
                <w:numId w:val="24"/>
              </w:numPr>
              <w:rPr>
                <w:rFonts w:cs="Arial"/>
                <w:bCs/>
                <w:sz w:val="24"/>
                <w:szCs w:val="24"/>
              </w:rPr>
            </w:pPr>
            <w:r w:rsidRPr="001A194E">
              <w:rPr>
                <w:rFonts w:cs="Arial"/>
                <w:bCs/>
                <w:sz w:val="24"/>
                <w:szCs w:val="24"/>
              </w:rPr>
              <w:t xml:space="preserve">Pharmacy, dental and ophthalmology allocations are being received in 2023/24 as funding and responsibility for these services is being delegated to </w:t>
            </w:r>
            <w:r w:rsidR="00943DD3" w:rsidRPr="001A194E">
              <w:rPr>
                <w:rFonts w:cs="Arial"/>
                <w:bCs/>
                <w:sz w:val="24"/>
                <w:szCs w:val="24"/>
              </w:rPr>
              <w:t>the ICB from 1</w:t>
            </w:r>
            <w:r w:rsidR="00943DD3" w:rsidRPr="001A194E">
              <w:rPr>
                <w:rFonts w:cs="Arial"/>
                <w:bCs/>
                <w:sz w:val="24"/>
                <w:szCs w:val="24"/>
                <w:vertAlign w:val="superscript"/>
              </w:rPr>
              <w:t>st</w:t>
            </w:r>
            <w:r w:rsidR="00943DD3" w:rsidRPr="001A194E">
              <w:rPr>
                <w:rFonts w:cs="Arial"/>
                <w:bCs/>
                <w:sz w:val="24"/>
                <w:szCs w:val="24"/>
              </w:rPr>
              <w:t xml:space="preserve"> April 2023.</w:t>
            </w:r>
          </w:p>
          <w:p w14:paraId="4AA56AF6" w14:textId="0DBE390A" w:rsidR="00957CAF" w:rsidRPr="001A194E" w:rsidRDefault="00957CAF" w:rsidP="00957CAF">
            <w:pPr>
              <w:pStyle w:val="ListParagraph"/>
              <w:numPr>
                <w:ilvl w:val="0"/>
                <w:numId w:val="24"/>
              </w:numPr>
              <w:rPr>
                <w:rFonts w:cs="Arial"/>
                <w:bCs/>
                <w:sz w:val="24"/>
                <w:szCs w:val="24"/>
              </w:rPr>
            </w:pPr>
            <w:r w:rsidRPr="001A194E">
              <w:rPr>
                <w:rFonts w:cs="Arial"/>
                <w:bCs/>
                <w:sz w:val="24"/>
                <w:szCs w:val="24"/>
              </w:rPr>
              <w:t>Elective recovery funding has been allocated to Systems on a fair shares basis and an associated elective recovery target set for each system.</w:t>
            </w:r>
          </w:p>
          <w:p w14:paraId="2794AD04" w14:textId="2300E500" w:rsidR="00957CAF" w:rsidRPr="001A194E" w:rsidRDefault="00943DD3" w:rsidP="00957CAF">
            <w:pPr>
              <w:pStyle w:val="ListParagraph"/>
              <w:numPr>
                <w:ilvl w:val="0"/>
                <w:numId w:val="24"/>
              </w:numPr>
              <w:rPr>
                <w:rFonts w:cs="Arial"/>
                <w:bCs/>
                <w:sz w:val="24"/>
                <w:szCs w:val="24"/>
              </w:rPr>
            </w:pPr>
            <w:r w:rsidRPr="001A194E">
              <w:rPr>
                <w:rFonts w:cs="Arial"/>
                <w:bCs/>
                <w:sz w:val="24"/>
                <w:szCs w:val="24"/>
              </w:rPr>
              <w:t>Additional physical and virtual capacity funding and discharge funding is to cover services that improve the overall urgent care systems and represents the recurrent allocation of funds allocated non recurrently in 2022/23.</w:t>
            </w:r>
          </w:p>
          <w:p w14:paraId="0747E197" w14:textId="77777777" w:rsidR="00AE1E07" w:rsidRPr="001A194E" w:rsidRDefault="00AE1E07" w:rsidP="0028025C">
            <w:pPr>
              <w:rPr>
                <w:rFonts w:cs="Arial"/>
                <w:bCs/>
                <w:color w:val="FF0000"/>
                <w:sz w:val="24"/>
                <w:szCs w:val="24"/>
              </w:rPr>
            </w:pPr>
          </w:p>
        </w:tc>
      </w:tr>
      <w:tr w:rsidR="00AE1E07" w:rsidRPr="001A194E" w14:paraId="176F35EF" w14:textId="77777777" w:rsidTr="00E72676">
        <w:tc>
          <w:tcPr>
            <w:tcW w:w="988" w:type="dxa"/>
            <w:tcBorders>
              <w:bottom w:val="nil"/>
            </w:tcBorders>
          </w:tcPr>
          <w:p w14:paraId="5BDA0839" w14:textId="77777777" w:rsidR="00AE1E07" w:rsidRPr="001A194E" w:rsidRDefault="00AE1E07" w:rsidP="0028025C">
            <w:pPr>
              <w:rPr>
                <w:rFonts w:cs="Arial"/>
                <w:b/>
                <w:bCs/>
                <w:sz w:val="24"/>
                <w:szCs w:val="24"/>
              </w:rPr>
            </w:pPr>
            <w:r w:rsidRPr="001A194E">
              <w:rPr>
                <w:rFonts w:cs="Arial"/>
                <w:b/>
                <w:bCs/>
                <w:sz w:val="24"/>
                <w:szCs w:val="24"/>
              </w:rPr>
              <w:t>3.0</w:t>
            </w:r>
          </w:p>
        </w:tc>
        <w:tc>
          <w:tcPr>
            <w:tcW w:w="9922" w:type="dxa"/>
            <w:tcBorders>
              <w:bottom w:val="nil"/>
            </w:tcBorders>
          </w:tcPr>
          <w:p w14:paraId="567A6053" w14:textId="77777777" w:rsidR="00AE1E07" w:rsidRPr="001A194E" w:rsidRDefault="00AE1E07" w:rsidP="0028025C">
            <w:pPr>
              <w:rPr>
                <w:rFonts w:cs="Arial"/>
                <w:b/>
                <w:bCs/>
                <w:sz w:val="24"/>
                <w:szCs w:val="24"/>
              </w:rPr>
            </w:pPr>
            <w:r w:rsidRPr="001A194E">
              <w:rPr>
                <w:rFonts w:cs="Arial"/>
                <w:b/>
                <w:bCs/>
                <w:sz w:val="24"/>
                <w:szCs w:val="24"/>
              </w:rPr>
              <w:t>Expenditure</w:t>
            </w:r>
          </w:p>
          <w:p w14:paraId="2FCE4664" w14:textId="77777777" w:rsidR="00AE1E07" w:rsidRPr="001A194E" w:rsidRDefault="00AE1E07" w:rsidP="0028025C">
            <w:pPr>
              <w:rPr>
                <w:rFonts w:cs="Arial"/>
                <w:b/>
                <w:bCs/>
                <w:sz w:val="24"/>
                <w:szCs w:val="24"/>
              </w:rPr>
            </w:pPr>
          </w:p>
        </w:tc>
      </w:tr>
      <w:tr w:rsidR="00AE1E07" w:rsidRPr="001A194E" w14:paraId="3E186AB2" w14:textId="77777777" w:rsidTr="00E72676">
        <w:tc>
          <w:tcPr>
            <w:tcW w:w="988" w:type="dxa"/>
            <w:tcBorders>
              <w:top w:val="nil"/>
              <w:bottom w:val="single" w:sz="4" w:space="0" w:color="auto"/>
            </w:tcBorders>
          </w:tcPr>
          <w:p w14:paraId="2074CFDE" w14:textId="77777777" w:rsidR="00AE1E07" w:rsidRPr="001A194E" w:rsidRDefault="00AE1E07" w:rsidP="0028025C">
            <w:pPr>
              <w:rPr>
                <w:rFonts w:cs="Arial"/>
                <w:bCs/>
                <w:color w:val="FF0000"/>
                <w:sz w:val="24"/>
                <w:szCs w:val="24"/>
              </w:rPr>
            </w:pPr>
          </w:p>
        </w:tc>
        <w:tc>
          <w:tcPr>
            <w:tcW w:w="9922" w:type="dxa"/>
            <w:tcBorders>
              <w:top w:val="nil"/>
              <w:bottom w:val="single" w:sz="4" w:space="0" w:color="auto"/>
            </w:tcBorders>
          </w:tcPr>
          <w:p w14:paraId="3C573A69" w14:textId="1A5714E8" w:rsidR="00AE1E07" w:rsidRPr="001A194E" w:rsidRDefault="00AE1E07" w:rsidP="0028025C">
            <w:pPr>
              <w:pStyle w:val="Default"/>
              <w:jc w:val="both"/>
              <w:rPr>
                <w:rFonts w:ascii="Arial" w:hAnsi="Arial" w:cs="Arial"/>
                <w:b/>
                <w:color w:val="auto"/>
              </w:rPr>
            </w:pPr>
            <w:r w:rsidRPr="001A194E">
              <w:rPr>
                <w:rFonts w:ascii="Arial" w:hAnsi="Arial" w:cs="Arial"/>
                <w:color w:val="auto"/>
              </w:rPr>
              <w:t xml:space="preserve">The budget has been developed from the </w:t>
            </w:r>
            <w:r w:rsidR="00943DD3" w:rsidRPr="001A194E">
              <w:rPr>
                <w:rFonts w:ascii="Arial" w:hAnsi="Arial" w:cs="Arial"/>
                <w:color w:val="auto"/>
              </w:rPr>
              <w:t>2022/23</w:t>
            </w:r>
            <w:r w:rsidRPr="001A194E">
              <w:rPr>
                <w:rFonts w:ascii="Arial" w:hAnsi="Arial" w:cs="Arial"/>
                <w:color w:val="auto"/>
              </w:rPr>
              <w:t xml:space="preserve"> underlying recurrent position</w:t>
            </w:r>
            <w:r w:rsidR="001A194E" w:rsidRPr="001A194E">
              <w:rPr>
                <w:rFonts w:ascii="Arial" w:hAnsi="Arial" w:cs="Arial"/>
                <w:color w:val="auto"/>
              </w:rPr>
              <w:t xml:space="preserve"> and delivery of the operational plan for 2023/24</w:t>
            </w:r>
            <w:r w:rsidRPr="001A194E">
              <w:rPr>
                <w:rFonts w:ascii="Arial" w:hAnsi="Arial" w:cs="Arial"/>
                <w:color w:val="auto"/>
              </w:rPr>
              <w:t>.</w:t>
            </w:r>
          </w:p>
          <w:p w14:paraId="7968A1E9" w14:textId="77777777" w:rsidR="00AE1E07" w:rsidRPr="001A194E" w:rsidRDefault="00AE1E07" w:rsidP="0028025C">
            <w:pPr>
              <w:rPr>
                <w:rFonts w:cs="Arial"/>
                <w:bCs/>
                <w:sz w:val="24"/>
                <w:szCs w:val="24"/>
              </w:rPr>
            </w:pPr>
          </w:p>
        </w:tc>
      </w:tr>
      <w:tr w:rsidR="00AE1E07" w:rsidRPr="001A194E" w14:paraId="2AD24A71" w14:textId="77777777" w:rsidTr="00E72676">
        <w:tc>
          <w:tcPr>
            <w:tcW w:w="988" w:type="dxa"/>
            <w:tcBorders>
              <w:bottom w:val="nil"/>
            </w:tcBorders>
          </w:tcPr>
          <w:p w14:paraId="49C1FCAA" w14:textId="77777777" w:rsidR="00AE1E07" w:rsidRPr="001A194E" w:rsidRDefault="00AE1E07" w:rsidP="0028025C">
            <w:pPr>
              <w:rPr>
                <w:rFonts w:cs="Arial"/>
                <w:b/>
                <w:bCs/>
                <w:sz w:val="24"/>
                <w:szCs w:val="24"/>
              </w:rPr>
            </w:pPr>
            <w:r w:rsidRPr="001A194E">
              <w:rPr>
                <w:rFonts w:cs="Arial"/>
                <w:b/>
                <w:bCs/>
                <w:sz w:val="24"/>
                <w:szCs w:val="24"/>
              </w:rPr>
              <w:t>3.1</w:t>
            </w:r>
          </w:p>
        </w:tc>
        <w:tc>
          <w:tcPr>
            <w:tcW w:w="9922" w:type="dxa"/>
            <w:tcBorders>
              <w:bottom w:val="nil"/>
            </w:tcBorders>
          </w:tcPr>
          <w:p w14:paraId="3206E2F8" w14:textId="399075AB" w:rsidR="00AE1E07" w:rsidRPr="001A194E" w:rsidRDefault="00AE1E07" w:rsidP="0028025C">
            <w:pPr>
              <w:ind w:left="60"/>
              <w:rPr>
                <w:rFonts w:cs="Arial"/>
                <w:b/>
                <w:bCs/>
                <w:sz w:val="24"/>
                <w:szCs w:val="24"/>
              </w:rPr>
            </w:pPr>
            <w:r w:rsidRPr="001A194E">
              <w:rPr>
                <w:rFonts w:cs="Arial"/>
                <w:b/>
                <w:bCs/>
                <w:sz w:val="24"/>
                <w:szCs w:val="24"/>
              </w:rPr>
              <w:t>Tariff &amp;</w:t>
            </w:r>
            <w:r w:rsidR="00990B48">
              <w:rPr>
                <w:rFonts w:cs="Arial"/>
                <w:b/>
                <w:bCs/>
                <w:sz w:val="24"/>
                <w:szCs w:val="24"/>
              </w:rPr>
              <w:t xml:space="preserve"> Uplift </w:t>
            </w:r>
            <w:r w:rsidRPr="001A194E">
              <w:rPr>
                <w:rFonts w:cs="Arial"/>
                <w:b/>
                <w:bCs/>
                <w:sz w:val="24"/>
                <w:szCs w:val="24"/>
              </w:rPr>
              <w:t xml:space="preserve"> </w:t>
            </w:r>
          </w:p>
          <w:p w14:paraId="4D3E1C6F" w14:textId="77777777" w:rsidR="00AE1E07" w:rsidRPr="001A194E" w:rsidRDefault="00AE1E07" w:rsidP="0028025C">
            <w:pPr>
              <w:ind w:left="60"/>
              <w:rPr>
                <w:rFonts w:cs="Arial"/>
                <w:b/>
                <w:bCs/>
                <w:sz w:val="24"/>
                <w:szCs w:val="24"/>
              </w:rPr>
            </w:pPr>
          </w:p>
          <w:p w14:paraId="62D5AE15" w14:textId="7417D378" w:rsidR="00AE1E07" w:rsidRPr="001A194E" w:rsidRDefault="00AE1E07" w:rsidP="0028025C">
            <w:pPr>
              <w:ind w:left="60"/>
              <w:rPr>
                <w:rFonts w:cs="Arial"/>
                <w:bCs/>
                <w:sz w:val="24"/>
                <w:szCs w:val="24"/>
              </w:rPr>
            </w:pPr>
            <w:r w:rsidRPr="001A194E">
              <w:rPr>
                <w:rFonts w:cs="Arial"/>
                <w:bCs/>
                <w:sz w:val="24"/>
                <w:szCs w:val="24"/>
              </w:rPr>
              <w:t xml:space="preserve">The final national tariff has the following uplift and efficiency factors, these have been included on all relevant contracts: </w:t>
            </w:r>
          </w:p>
          <w:p w14:paraId="3A843AB7" w14:textId="36A65AD3" w:rsidR="00AE1E07" w:rsidRPr="001A194E" w:rsidRDefault="00AE1E07" w:rsidP="00AE1E07">
            <w:pPr>
              <w:pStyle w:val="ListParagraph"/>
              <w:numPr>
                <w:ilvl w:val="0"/>
                <w:numId w:val="18"/>
              </w:numPr>
              <w:spacing w:line="240" w:lineRule="auto"/>
              <w:contextualSpacing w:val="0"/>
              <w:rPr>
                <w:rFonts w:cs="Arial"/>
                <w:bCs/>
                <w:sz w:val="24"/>
                <w:szCs w:val="24"/>
              </w:rPr>
            </w:pPr>
            <w:r w:rsidRPr="001A194E">
              <w:rPr>
                <w:rFonts w:cs="Arial"/>
                <w:bCs/>
                <w:sz w:val="24"/>
                <w:szCs w:val="24"/>
              </w:rPr>
              <w:t>inflation uplifts of 2.</w:t>
            </w:r>
            <w:r w:rsidR="001A194E" w:rsidRPr="001A194E">
              <w:rPr>
                <w:rFonts w:cs="Arial"/>
                <w:bCs/>
                <w:sz w:val="24"/>
                <w:szCs w:val="24"/>
              </w:rPr>
              <w:t>9</w:t>
            </w:r>
            <w:r w:rsidRPr="001A194E">
              <w:rPr>
                <w:rFonts w:cs="Arial"/>
                <w:bCs/>
                <w:sz w:val="24"/>
                <w:szCs w:val="24"/>
              </w:rPr>
              <w:t>%</w:t>
            </w:r>
          </w:p>
          <w:p w14:paraId="7DCD4536" w14:textId="75FF06CC" w:rsidR="00AE1E07" w:rsidRDefault="00AE1E07" w:rsidP="00AE1E07">
            <w:pPr>
              <w:pStyle w:val="ListParagraph"/>
              <w:numPr>
                <w:ilvl w:val="0"/>
                <w:numId w:val="18"/>
              </w:numPr>
              <w:spacing w:line="240" w:lineRule="auto"/>
              <w:contextualSpacing w:val="0"/>
              <w:rPr>
                <w:rFonts w:cs="Arial"/>
                <w:bCs/>
                <w:sz w:val="24"/>
                <w:szCs w:val="24"/>
              </w:rPr>
            </w:pPr>
            <w:r w:rsidRPr="001A194E">
              <w:rPr>
                <w:rFonts w:cs="Arial"/>
                <w:bCs/>
                <w:sz w:val="24"/>
                <w:szCs w:val="24"/>
              </w:rPr>
              <w:t>cash releasing efficiency savings of -1.1%</w:t>
            </w:r>
          </w:p>
          <w:p w14:paraId="3CEE59C7" w14:textId="77777777" w:rsidR="00990B48" w:rsidRDefault="00990B48" w:rsidP="00990B48">
            <w:pPr>
              <w:spacing w:line="240" w:lineRule="auto"/>
              <w:rPr>
                <w:rFonts w:cs="Arial"/>
                <w:bCs/>
                <w:sz w:val="24"/>
                <w:szCs w:val="24"/>
              </w:rPr>
            </w:pPr>
          </w:p>
          <w:p w14:paraId="53B4AC9B" w14:textId="3C636CC3" w:rsidR="00990B48" w:rsidRPr="00990B48" w:rsidRDefault="00990B48" w:rsidP="00990B48">
            <w:pPr>
              <w:spacing w:line="240" w:lineRule="auto"/>
              <w:rPr>
                <w:rFonts w:cs="Arial"/>
                <w:bCs/>
                <w:sz w:val="24"/>
                <w:szCs w:val="24"/>
              </w:rPr>
            </w:pPr>
            <w:r>
              <w:rPr>
                <w:rFonts w:cs="Arial"/>
                <w:bCs/>
                <w:sz w:val="24"/>
                <w:szCs w:val="24"/>
              </w:rPr>
              <w:t>In addition, contracts with NHS providers are being uplifted by 0.6% (1.2.% for ambulance NHSFT) to cover additional ongoing costs related to covid and 0.9% for additional capacity funding.</w:t>
            </w:r>
          </w:p>
          <w:p w14:paraId="46E51470" w14:textId="77777777" w:rsidR="00AE1E07" w:rsidRPr="001A194E" w:rsidRDefault="00AE1E07" w:rsidP="0028025C">
            <w:pPr>
              <w:rPr>
                <w:rFonts w:cs="Arial"/>
                <w:bCs/>
                <w:sz w:val="24"/>
                <w:szCs w:val="24"/>
              </w:rPr>
            </w:pPr>
          </w:p>
          <w:p w14:paraId="5D4DF536" w14:textId="465B1CDE" w:rsidR="00AE1E07" w:rsidRPr="001A194E" w:rsidRDefault="001A194E" w:rsidP="0028025C">
            <w:pPr>
              <w:rPr>
                <w:rFonts w:cs="Arial"/>
                <w:sz w:val="24"/>
                <w:szCs w:val="24"/>
              </w:rPr>
            </w:pPr>
            <w:r>
              <w:rPr>
                <w:rFonts w:cs="Arial"/>
                <w:sz w:val="24"/>
                <w:szCs w:val="24"/>
              </w:rPr>
              <w:t>Estimated i</w:t>
            </w:r>
            <w:r w:rsidR="00AE1E07" w:rsidRPr="001A194E">
              <w:rPr>
                <w:rFonts w:cs="Arial"/>
                <w:sz w:val="24"/>
                <w:szCs w:val="24"/>
              </w:rPr>
              <w:t xml:space="preserve">nflation uplifts for domiciliary and residential care </w:t>
            </w:r>
            <w:r>
              <w:rPr>
                <w:rFonts w:cs="Arial"/>
                <w:sz w:val="24"/>
                <w:szCs w:val="24"/>
              </w:rPr>
              <w:t xml:space="preserve">are </w:t>
            </w:r>
            <w:r w:rsidR="00AE1E07" w:rsidRPr="001A194E">
              <w:rPr>
                <w:rFonts w:cs="Arial"/>
                <w:sz w:val="24"/>
                <w:szCs w:val="24"/>
              </w:rPr>
              <w:t>aligned with the Gloucestershire County Council</w:t>
            </w:r>
            <w:r>
              <w:rPr>
                <w:rFonts w:cs="Arial"/>
                <w:sz w:val="24"/>
                <w:szCs w:val="24"/>
              </w:rPr>
              <w:t xml:space="preserve"> proposed</w:t>
            </w:r>
            <w:r w:rsidR="00AE1E07" w:rsidRPr="001A194E">
              <w:rPr>
                <w:rFonts w:cs="Arial"/>
                <w:sz w:val="24"/>
                <w:szCs w:val="24"/>
              </w:rPr>
              <w:t xml:space="preserve"> uplifts</w:t>
            </w:r>
            <w:r>
              <w:rPr>
                <w:rFonts w:cs="Arial"/>
                <w:sz w:val="24"/>
                <w:szCs w:val="24"/>
              </w:rPr>
              <w:t xml:space="preserve"> and are still in negotiation with the Care Sector</w:t>
            </w:r>
            <w:r w:rsidR="00AE1E07" w:rsidRPr="001A194E">
              <w:rPr>
                <w:rFonts w:cs="Arial"/>
                <w:sz w:val="24"/>
                <w:szCs w:val="24"/>
              </w:rPr>
              <w:t xml:space="preserve">.  </w:t>
            </w:r>
          </w:p>
          <w:p w14:paraId="12C5015F" w14:textId="77777777" w:rsidR="00AE1E07" w:rsidRPr="001A194E" w:rsidRDefault="00AE1E07" w:rsidP="0028025C">
            <w:pPr>
              <w:rPr>
                <w:rFonts w:cs="Arial"/>
                <w:color w:val="FF0000"/>
                <w:sz w:val="24"/>
                <w:szCs w:val="24"/>
              </w:rPr>
            </w:pPr>
          </w:p>
        </w:tc>
      </w:tr>
      <w:tr w:rsidR="00D37F52" w:rsidRPr="00D37F52" w14:paraId="5E88B3B4" w14:textId="77777777" w:rsidTr="00E72676">
        <w:tc>
          <w:tcPr>
            <w:tcW w:w="988" w:type="dxa"/>
            <w:tcBorders>
              <w:bottom w:val="nil"/>
            </w:tcBorders>
          </w:tcPr>
          <w:p w14:paraId="607E9BFA" w14:textId="77777777" w:rsidR="00AE1E07" w:rsidRPr="00990B48" w:rsidRDefault="00AE1E07" w:rsidP="0028025C">
            <w:pPr>
              <w:rPr>
                <w:rFonts w:cs="Arial"/>
                <w:b/>
                <w:bCs/>
                <w:sz w:val="24"/>
                <w:szCs w:val="24"/>
              </w:rPr>
            </w:pPr>
            <w:r w:rsidRPr="00990B48">
              <w:rPr>
                <w:rFonts w:cs="Arial"/>
                <w:b/>
                <w:bCs/>
                <w:sz w:val="24"/>
                <w:szCs w:val="24"/>
              </w:rPr>
              <w:t>3.2</w:t>
            </w:r>
          </w:p>
        </w:tc>
        <w:tc>
          <w:tcPr>
            <w:tcW w:w="9922" w:type="dxa"/>
            <w:tcBorders>
              <w:bottom w:val="nil"/>
            </w:tcBorders>
          </w:tcPr>
          <w:p w14:paraId="7432B83C" w14:textId="77777777" w:rsidR="00AE1E07" w:rsidRPr="00990B48" w:rsidRDefault="00AE1E07" w:rsidP="0028025C">
            <w:pPr>
              <w:rPr>
                <w:rFonts w:cs="Arial"/>
                <w:b/>
                <w:bCs/>
                <w:sz w:val="24"/>
                <w:szCs w:val="24"/>
              </w:rPr>
            </w:pPr>
            <w:r w:rsidRPr="00990B48">
              <w:rPr>
                <w:rFonts w:cs="Arial"/>
                <w:b/>
                <w:bCs/>
                <w:sz w:val="24"/>
                <w:szCs w:val="24"/>
              </w:rPr>
              <w:t>Pre-Commitments, Investments and Cost Pressures</w:t>
            </w:r>
          </w:p>
          <w:p w14:paraId="58D2BDA5" w14:textId="77777777" w:rsidR="00AE1E07" w:rsidRPr="00990B48" w:rsidRDefault="00AE1E07" w:rsidP="0028025C">
            <w:pPr>
              <w:rPr>
                <w:rFonts w:cs="Arial"/>
                <w:b/>
                <w:bCs/>
                <w:sz w:val="24"/>
                <w:szCs w:val="24"/>
              </w:rPr>
            </w:pPr>
          </w:p>
          <w:p w14:paraId="27C259DB" w14:textId="77777777" w:rsidR="00AE1E07" w:rsidRPr="00990B48" w:rsidRDefault="00AE1E07" w:rsidP="0028025C">
            <w:pPr>
              <w:rPr>
                <w:rFonts w:cs="Arial"/>
                <w:b/>
                <w:bCs/>
                <w:sz w:val="24"/>
                <w:szCs w:val="24"/>
              </w:rPr>
            </w:pPr>
            <w:r w:rsidRPr="00990B48">
              <w:rPr>
                <w:rFonts w:cs="Arial"/>
                <w:sz w:val="24"/>
                <w:szCs w:val="24"/>
              </w:rPr>
              <w:t>These fall into the following categories:</w:t>
            </w:r>
          </w:p>
          <w:p w14:paraId="58266B7B" w14:textId="6B9B8628" w:rsidR="00AE1E07" w:rsidRPr="00990B48" w:rsidRDefault="00990B48" w:rsidP="00AE1E07">
            <w:pPr>
              <w:pStyle w:val="ListParagraph"/>
              <w:numPr>
                <w:ilvl w:val="0"/>
                <w:numId w:val="19"/>
              </w:numPr>
              <w:spacing w:line="240" w:lineRule="auto"/>
              <w:contextualSpacing w:val="0"/>
              <w:rPr>
                <w:rFonts w:cs="Arial"/>
                <w:sz w:val="24"/>
                <w:szCs w:val="24"/>
              </w:rPr>
            </w:pPr>
            <w:r>
              <w:rPr>
                <w:rFonts w:cs="Arial"/>
                <w:sz w:val="24"/>
                <w:szCs w:val="24"/>
              </w:rPr>
              <w:t>C</w:t>
            </w:r>
            <w:r w:rsidR="00AE1E07" w:rsidRPr="00990B48">
              <w:rPr>
                <w:rFonts w:cs="Arial"/>
                <w:sz w:val="24"/>
                <w:szCs w:val="24"/>
              </w:rPr>
              <w:t>ost pressures that have arisen in year</w:t>
            </w:r>
            <w:r>
              <w:rPr>
                <w:rFonts w:cs="Arial"/>
                <w:sz w:val="24"/>
                <w:szCs w:val="24"/>
              </w:rPr>
              <w:t>: Cost pressures for each of the Gloucestershire NHS System partners have been reviewed through the Director of Finance group to test these, some of this work is ongoing.</w:t>
            </w:r>
          </w:p>
          <w:p w14:paraId="54F63A2E" w14:textId="77777777" w:rsidR="00AE1E07" w:rsidRPr="00990B48" w:rsidRDefault="00AE1E07" w:rsidP="00AE1E07">
            <w:pPr>
              <w:pStyle w:val="ListParagraph"/>
              <w:numPr>
                <w:ilvl w:val="0"/>
                <w:numId w:val="19"/>
              </w:numPr>
              <w:spacing w:line="240" w:lineRule="auto"/>
              <w:contextualSpacing w:val="0"/>
              <w:rPr>
                <w:rFonts w:cs="Arial"/>
                <w:sz w:val="24"/>
                <w:szCs w:val="24"/>
              </w:rPr>
            </w:pPr>
            <w:r w:rsidRPr="00990B48">
              <w:rPr>
                <w:rFonts w:cs="Arial"/>
                <w:sz w:val="24"/>
                <w:szCs w:val="24"/>
              </w:rPr>
              <w:t>Mental Health Investment Standard investment</w:t>
            </w:r>
          </w:p>
          <w:p w14:paraId="0522D127" w14:textId="0C1DF66D" w:rsidR="00AE1E07" w:rsidRDefault="00990B48" w:rsidP="00AE1E07">
            <w:pPr>
              <w:pStyle w:val="Default"/>
              <w:numPr>
                <w:ilvl w:val="0"/>
                <w:numId w:val="19"/>
              </w:numPr>
              <w:jc w:val="both"/>
              <w:rPr>
                <w:rFonts w:ascii="Arial" w:hAnsi="Arial" w:cs="Arial"/>
                <w:color w:val="auto"/>
              </w:rPr>
            </w:pPr>
            <w:r>
              <w:rPr>
                <w:rFonts w:ascii="Arial" w:hAnsi="Arial" w:cs="Arial"/>
                <w:color w:val="auto"/>
              </w:rPr>
              <w:t>N</w:t>
            </w:r>
            <w:r w:rsidR="00AE1E07" w:rsidRPr="00990B48">
              <w:rPr>
                <w:rFonts w:ascii="Arial" w:hAnsi="Arial" w:cs="Arial"/>
                <w:color w:val="auto"/>
              </w:rPr>
              <w:t xml:space="preserve">ationally mandated uplift on the Better Care Fund (BCF) of 5.66% for </w:t>
            </w:r>
            <w:r>
              <w:rPr>
                <w:rFonts w:ascii="Arial" w:hAnsi="Arial" w:cs="Arial"/>
                <w:color w:val="auto"/>
              </w:rPr>
              <w:t>2023/24.  The uplift is almost wholly committed by inflation increases relating to the care sector and pressures within existing BCF budgets such as community equipment.</w:t>
            </w:r>
          </w:p>
          <w:p w14:paraId="6A620DFD" w14:textId="5B1AD6CA" w:rsidR="00990B48" w:rsidRDefault="00990B48" w:rsidP="00990B48">
            <w:pPr>
              <w:pStyle w:val="Default"/>
              <w:ind w:left="720"/>
              <w:jc w:val="both"/>
              <w:rPr>
                <w:rFonts w:ascii="Arial" w:hAnsi="Arial" w:cs="Arial"/>
                <w:color w:val="auto"/>
              </w:rPr>
            </w:pPr>
          </w:p>
          <w:p w14:paraId="2FAEF7BF" w14:textId="52051A46" w:rsidR="00990B48" w:rsidRDefault="00990B48" w:rsidP="00990B48">
            <w:pPr>
              <w:pStyle w:val="Default"/>
              <w:jc w:val="both"/>
              <w:rPr>
                <w:rFonts w:ascii="Arial" w:hAnsi="Arial" w:cs="Arial"/>
                <w:color w:val="auto"/>
              </w:rPr>
            </w:pPr>
            <w:r>
              <w:rPr>
                <w:rFonts w:ascii="Arial" w:hAnsi="Arial" w:cs="Arial"/>
                <w:color w:val="auto"/>
              </w:rPr>
              <w:t>In addition, several allocations have been received covering the following areas:</w:t>
            </w:r>
          </w:p>
          <w:p w14:paraId="28CDDB2E" w14:textId="77777777" w:rsidR="00BF4C75" w:rsidRDefault="00BF4C75" w:rsidP="00990B48">
            <w:pPr>
              <w:pStyle w:val="Default"/>
              <w:jc w:val="both"/>
              <w:rPr>
                <w:rFonts w:ascii="Arial" w:hAnsi="Arial" w:cs="Arial"/>
                <w:color w:val="auto"/>
              </w:rPr>
            </w:pPr>
          </w:p>
          <w:p w14:paraId="1FBBED6F" w14:textId="7C5E2ED3" w:rsidR="00990B48" w:rsidRDefault="00990B48" w:rsidP="00990B48">
            <w:pPr>
              <w:pStyle w:val="Default"/>
              <w:numPr>
                <w:ilvl w:val="0"/>
                <w:numId w:val="25"/>
              </w:numPr>
              <w:jc w:val="both"/>
              <w:rPr>
                <w:rFonts w:ascii="Arial" w:hAnsi="Arial" w:cs="Arial"/>
                <w:color w:val="auto"/>
              </w:rPr>
            </w:pPr>
            <w:r>
              <w:rPr>
                <w:rFonts w:ascii="Arial" w:hAnsi="Arial" w:cs="Arial"/>
                <w:color w:val="auto"/>
              </w:rPr>
              <w:t xml:space="preserve">Additional demand and capacity funding; this is funding received in 2022/23 which has been made recurrent.  Schemes started in 2022/23 with </w:t>
            </w:r>
            <w:proofErr w:type="spellStart"/>
            <w:r>
              <w:rPr>
                <w:rFonts w:ascii="Arial" w:hAnsi="Arial" w:cs="Arial"/>
                <w:color w:val="auto"/>
              </w:rPr>
              <w:t>non recurrent</w:t>
            </w:r>
            <w:proofErr w:type="spellEnd"/>
            <w:r>
              <w:rPr>
                <w:rFonts w:ascii="Arial" w:hAnsi="Arial" w:cs="Arial"/>
                <w:color w:val="auto"/>
              </w:rPr>
              <w:t xml:space="preserve"> funding are in the process of being reviewed to determine which are delivering benefits and should be put forward for recurrent funding</w:t>
            </w:r>
          </w:p>
          <w:p w14:paraId="443760EB" w14:textId="77777777" w:rsidR="00BF4C75" w:rsidRDefault="00BF4C75" w:rsidP="00BF4C75">
            <w:pPr>
              <w:pStyle w:val="Default"/>
              <w:ind w:left="720"/>
              <w:jc w:val="both"/>
              <w:rPr>
                <w:rFonts w:ascii="Arial" w:hAnsi="Arial" w:cs="Arial"/>
                <w:color w:val="auto"/>
              </w:rPr>
            </w:pPr>
          </w:p>
          <w:p w14:paraId="281BE566" w14:textId="2FD86521" w:rsidR="00BF4C75" w:rsidRDefault="00990B48" w:rsidP="00BF4C75">
            <w:pPr>
              <w:pStyle w:val="Default"/>
              <w:numPr>
                <w:ilvl w:val="0"/>
                <w:numId w:val="25"/>
              </w:numPr>
              <w:jc w:val="both"/>
              <w:rPr>
                <w:rFonts w:ascii="Arial" w:hAnsi="Arial" w:cs="Arial"/>
                <w:color w:val="auto"/>
              </w:rPr>
            </w:pPr>
            <w:r>
              <w:rPr>
                <w:rFonts w:ascii="Arial" w:hAnsi="Arial" w:cs="Arial"/>
                <w:color w:val="auto"/>
              </w:rPr>
              <w:t>Additional discharge funding</w:t>
            </w:r>
            <w:r w:rsidR="00BF4C75">
              <w:rPr>
                <w:rFonts w:ascii="Arial" w:hAnsi="Arial" w:cs="Arial"/>
                <w:color w:val="auto"/>
              </w:rPr>
              <w:t xml:space="preserve">: this is funding received in 2022/23 which has been made recurrent.  This funding was used to deliver additional capacity, such as discharge to assess beds, to support discharge and these are currently being reviewed. </w:t>
            </w:r>
          </w:p>
          <w:p w14:paraId="11506D8F" w14:textId="78351963" w:rsidR="00BF4C75" w:rsidRDefault="00BF4C75" w:rsidP="00BF4C75">
            <w:pPr>
              <w:pStyle w:val="Default"/>
              <w:ind w:left="720"/>
              <w:jc w:val="both"/>
              <w:rPr>
                <w:rFonts w:ascii="Arial" w:hAnsi="Arial" w:cs="Arial"/>
                <w:color w:val="auto"/>
              </w:rPr>
            </w:pPr>
            <w:r>
              <w:rPr>
                <w:rFonts w:ascii="Arial" w:hAnsi="Arial" w:cs="Arial"/>
                <w:color w:val="auto"/>
              </w:rPr>
              <w:t xml:space="preserve"> </w:t>
            </w:r>
          </w:p>
          <w:p w14:paraId="5F130A8C" w14:textId="24E0952F" w:rsidR="00990B48" w:rsidRDefault="00BF4C75" w:rsidP="00BF4C75">
            <w:pPr>
              <w:pStyle w:val="Default"/>
              <w:ind w:left="720"/>
              <w:jc w:val="both"/>
              <w:rPr>
                <w:rFonts w:ascii="Arial" w:hAnsi="Arial" w:cs="Arial"/>
                <w:color w:val="auto"/>
              </w:rPr>
            </w:pPr>
            <w:r>
              <w:rPr>
                <w:rFonts w:ascii="Arial" w:hAnsi="Arial" w:cs="Arial"/>
                <w:color w:val="auto"/>
              </w:rPr>
              <w:t xml:space="preserve">It is proposed that existing schemes funded under the above are funded for quarter one whilst reviews are </w:t>
            </w:r>
            <w:proofErr w:type="gramStart"/>
            <w:r>
              <w:rPr>
                <w:rFonts w:ascii="Arial" w:hAnsi="Arial" w:cs="Arial"/>
                <w:color w:val="auto"/>
              </w:rPr>
              <w:t>completed</w:t>
            </w:r>
            <w:proofErr w:type="gramEnd"/>
            <w:r>
              <w:rPr>
                <w:rFonts w:ascii="Arial" w:hAnsi="Arial" w:cs="Arial"/>
                <w:color w:val="auto"/>
              </w:rPr>
              <w:t xml:space="preserve"> and a final proposed use of the funding is developed.</w:t>
            </w:r>
          </w:p>
          <w:p w14:paraId="56C80217" w14:textId="77777777" w:rsidR="00BF4C75" w:rsidRPr="00990B48" w:rsidRDefault="00BF4C75" w:rsidP="00BF4C75">
            <w:pPr>
              <w:pStyle w:val="Default"/>
              <w:ind w:left="720"/>
              <w:jc w:val="both"/>
              <w:rPr>
                <w:rFonts w:ascii="Arial" w:hAnsi="Arial" w:cs="Arial"/>
                <w:color w:val="auto"/>
              </w:rPr>
            </w:pPr>
          </w:p>
          <w:p w14:paraId="5835D95C" w14:textId="77777777" w:rsidR="00BF4C75" w:rsidRDefault="00BF4C75" w:rsidP="00BF4C75">
            <w:pPr>
              <w:pStyle w:val="Default"/>
              <w:numPr>
                <w:ilvl w:val="0"/>
                <w:numId w:val="25"/>
              </w:numPr>
              <w:jc w:val="both"/>
              <w:rPr>
                <w:rFonts w:ascii="Arial" w:hAnsi="Arial" w:cs="Arial"/>
                <w:color w:val="auto"/>
              </w:rPr>
            </w:pPr>
            <w:r>
              <w:rPr>
                <w:rFonts w:ascii="Arial" w:hAnsi="Arial" w:cs="Arial"/>
                <w:color w:val="auto"/>
              </w:rPr>
              <w:t>Elective recovery</w:t>
            </w:r>
          </w:p>
          <w:p w14:paraId="1DD03960" w14:textId="77777777" w:rsidR="00AE1E07" w:rsidRDefault="00AE1E07" w:rsidP="00990B48">
            <w:pPr>
              <w:rPr>
                <w:rFonts w:cs="Arial"/>
                <w:sz w:val="24"/>
                <w:szCs w:val="24"/>
              </w:rPr>
            </w:pPr>
          </w:p>
          <w:p w14:paraId="77106BAF" w14:textId="2EE673FE" w:rsidR="00BF4C75" w:rsidRPr="00BF4C75" w:rsidRDefault="00BF4C75" w:rsidP="00BF4C75">
            <w:pPr>
              <w:rPr>
                <w:rFonts w:cs="Arial"/>
                <w:sz w:val="24"/>
                <w:szCs w:val="24"/>
              </w:rPr>
            </w:pPr>
            <w:r w:rsidRPr="00BF4C75">
              <w:rPr>
                <w:rFonts w:cs="Arial"/>
                <w:sz w:val="24"/>
                <w:szCs w:val="24"/>
              </w:rPr>
              <w:t>Each system has been allocated elective recovery funding within its initial planning totals (Gloucestershire non specialist funding is £</w:t>
            </w:r>
            <w:r>
              <w:rPr>
                <w:rFonts w:cs="Arial"/>
                <w:sz w:val="24"/>
                <w:szCs w:val="24"/>
              </w:rPr>
              <w:t>25.6m</w:t>
            </w:r>
            <w:r w:rsidRPr="00BF4C75">
              <w:rPr>
                <w:rFonts w:cs="Arial"/>
                <w:sz w:val="24"/>
                <w:szCs w:val="24"/>
              </w:rPr>
              <w:t>). If elective activity of 10</w:t>
            </w:r>
            <w:r>
              <w:rPr>
                <w:rFonts w:cs="Arial"/>
                <w:sz w:val="24"/>
                <w:szCs w:val="24"/>
              </w:rPr>
              <w:t>9</w:t>
            </w:r>
            <w:r w:rsidRPr="00BF4C75">
              <w:rPr>
                <w:rFonts w:cs="Arial"/>
                <w:sz w:val="24"/>
                <w:szCs w:val="24"/>
              </w:rPr>
              <w:t>%</w:t>
            </w:r>
            <w:r>
              <w:rPr>
                <w:rFonts w:cs="Arial"/>
                <w:sz w:val="24"/>
                <w:szCs w:val="24"/>
              </w:rPr>
              <w:t xml:space="preserve"> </w:t>
            </w:r>
            <w:r w:rsidRPr="00BF4C75">
              <w:rPr>
                <w:rFonts w:cs="Arial"/>
                <w:sz w:val="24"/>
                <w:szCs w:val="24"/>
              </w:rPr>
              <w:t xml:space="preserve">2019/20 </w:t>
            </w:r>
            <w:r>
              <w:rPr>
                <w:rFonts w:cs="Arial"/>
                <w:sz w:val="24"/>
                <w:szCs w:val="24"/>
              </w:rPr>
              <w:t xml:space="preserve">value weighted </w:t>
            </w:r>
            <w:r w:rsidRPr="00BF4C75">
              <w:rPr>
                <w:rFonts w:cs="Arial"/>
                <w:sz w:val="24"/>
                <w:szCs w:val="24"/>
              </w:rPr>
              <w:t>levels</w:t>
            </w:r>
            <w:r>
              <w:rPr>
                <w:rFonts w:cs="Arial"/>
                <w:sz w:val="24"/>
                <w:szCs w:val="24"/>
              </w:rPr>
              <w:t xml:space="preserve"> average</w:t>
            </w:r>
            <w:r w:rsidRPr="00BF4C75">
              <w:rPr>
                <w:rFonts w:cs="Arial"/>
                <w:sz w:val="24"/>
                <w:szCs w:val="24"/>
              </w:rPr>
              <w:t xml:space="preserve"> is </w:t>
            </w:r>
            <w:proofErr w:type="gramStart"/>
            <w:r w:rsidRPr="00BF4C75">
              <w:rPr>
                <w:rFonts w:cs="Arial"/>
                <w:sz w:val="24"/>
                <w:szCs w:val="24"/>
              </w:rPr>
              <w:t>achieved</w:t>
            </w:r>
            <w:proofErr w:type="gramEnd"/>
            <w:r w:rsidRPr="00BF4C75">
              <w:rPr>
                <w:rFonts w:cs="Arial"/>
                <w:sz w:val="24"/>
                <w:szCs w:val="24"/>
              </w:rPr>
              <w:t xml:space="preserve"> then this allocation will be </w:t>
            </w:r>
            <w:r>
              <w:rPr>
                <w:rFonts w:cs="Arial"/>
                <w:sz w:val="24"/>
                <w:szCs w:val="24"/>
              </w:rPr>
              <w:t>fully received</w:t>
            </w:r>
            <w:r w:rsidRPr="00BF4C75">
              <w:rPr>
                <w:rFonts w:cs="Arial"/>
                <w:sz w:val="24"/>
                <w:szCs w:val="24"/>
              </w:rPr>
              <w:t xml:space="preserve">.  However, where elective activity for the </w:t>
            </w:r>
            <w:r>
              <w:rPr>
                <w:rFonts w:cs="Arial"/>
                <w:sz w:val="24"/>
                <w:szCs w:val="24"/>
              </w:rPr>
              <w:t>ICB</w:t>
            </w:r>
            <w:r w:rsidRPr="00BF4C75">
              <w:rPr>
                <w:rFonts w:cs="Arial"/>
                <w:sz w:val="24"/>
                <w:szCs w:val="24"/>
              </w:rPr>
              <w:t xml:space="preserve"> either falls below or exceeds the target, </w:t>
            </w:r>
            <w:r>
              <w:rPr>
                <w:rFonts w:cs="Arial"/>
                <w:sz w:val="24"/>
                <w:szCs w:val="24"/>
              </w:rPr>
              <w:t>then the ICB will only receive allocation associated with activity delivered</w:t>
            </w:r>
            <w:r w:rsidRPr="00BF4C75">
              <w:rPr>
                <w:rFonts w:cs="Arial"/>
                <w:sz w:val="24"/>
                <w:szCs w:val="24"/>
              </w:rPr>
              <w:t xml:space="preserve">  </w:t>
            </w:r>
          </w:p>
          <w:p w14:paraId="4C001A80" w14:textId="77777777" w:rsidR="00BF4C75" w:rsidRPr="00BF4C75" w:rsidRDefault="00BF4C75" w:rsidP="00BF4C75">
            <w:pPr>
              <w:rPr>
                <w:rFonts w:cs="Arial"/>
                <w:sz w:val="24"/>
                <w:szCs w:val="24"/>
              </w:rPr>
            </w:pPr>
          </w:p>
          <w:p w14:paraId="23BE81DD" w14:textId="691F9782" w:rsidR="00BF4C75" w:rsidRPr="00990B48" w:rsidRDefault="00BF4C75" w:rsidP="00BF4C75">
            <w:pPr>
              <w:rPr>
                <w:rFonts w:cs="Arial"/>
                <w:sz w:val="24"/>
                <w:szCs w:val="24"/>
              </w:rPr>
            </w:pPr>
            <w:r w:rsidRPr="00BF4C75">
              <w:rPr>
                <w:rFonts w:cs="Arial"/>
                <w:sz w:val="24"/>
                <w:szCs w:val="24"/>
              </w:rPr>
              <w:t>The current system plan is based on achievement of the 10</w:t>
            </w:r>
            <w:r>
              <w:rPr>
                <w:rFonts w:cs="Arial"/>
                <w:sz w:val="24"/>
                <w:szCs w:val="24"/>
              </w:rPr>
              <w:t>9</w:t>
            </w:r>
            <w:r w:rsidRPr="00BF4C75">
              <w:rPr>
                <w:rFonts w:cs="Arial"/>
                <w:sz w:val="24"/>
                <w:szCs w:val="24"/>
              </w:rPr>
              <w:t>% target and therefore</w:t>
            </w:r>
            <w:r>
              <w:rPr>
                <w:rFonts w:cs="Arial"/>
                <w:sz w:val="24"/>
                <w:szCs w:val="24"/>
              </w:rPr>
              <w:t xml:space="preserve"> receipt of</w:t>
            </w:r>
            <w:r w:rsidRPr="00BF4C75">
              <w:rPr>
                <w:rFonts w:cs="Arial"/>
                <w:sz w:val="24"/>
                <w:szCs w:val="24"/>
              </w:rPr>
              <w:t xml:space="preserve"> full elective recovery funding, the plan is based on a contribution from elective recovery funding of £1</w:t>
            </w:r>
            <w:r>
              <w:rPr>
                <w:rFonts w:cs="Arial"/>
                <w:sz w:val="24"/>
                <w:szCs w:val="24"/>
              </w:rPr>
              <w:t>6.3</w:t>
            </w:r>
            <w:r w:rsidRPr="00BF4C75">
              <w:rPr>
                <w:rFonts w:cs="Arial"/>
                <w:sz w:val="24"/>
                <w:szCs w:val="24"/>
              </w:rPr>
              <w:t>m to the overall system financial position.  If elective performance drops below the 10</w:t>
            </w:r>
            <w:r>
              <w:rPr>
                <w:rFonts w:cs="Arial"/>
                <w:sz w:val="24"/>
                <w:szCs w:val="24"/>
              </w:rPr>
              <w:t>9</w:t>
            </w:r>
            <w:r w:rsidRPr="00BF4C75">
              <w:rPr>
                <w:rFonts w:cs="Arial"/>
                <w:sz w:val="24"/>
                <w:szCs w:val="24"/>
              </w:rPr>
              <w:t>% the system financial position will worsen.</w:t>
            </w:r>
          </w:p>
        </w:tc>
      </w:tr>
      <w:tr w:rsidR="00D37F52" w:rsidRPr="00D37F52" w14:paraId="6D014720" w14:textId="77777777" w:rsidTr="00E72676">
        <w:tc>
          <w:tcPr>
            <w:tcW w:w="988" w:type="dxa"/>
            <w:tcBorders>
              <w:top w:val="nil"/>
            </w:tcBorders>
          </w:tcPr>
          <w:p w14:paraId="5F7FC3EB" w14:textId="77777777" w:rsidR="00AE1E07" w:rsidRPr="00D37F52" w:rsidRDefault="00AE1E07" w:rsidP="0028025C">
            <w:pPr>
              <w:rPr>
                <w:rFonts w:cs="Arial"/>
                <w:bCs/>
                <w:color w:val="FF0000"/>
                <w:sz w:val="24"/>
                <w:szCs w:val="24"/>
              </w:rPr>
            </w:pPr>
          </w:p>
        </w:tc>
        <w:tc>
          <w:tcPr>
            <w:tcW w:w="9922" w:type="dxa"/>
            <w:tcBorders>
              <w:top w:val="nil"/>
            </w:tcBorders>
          </w:tcPr>
          <w:p w14:paraId="438C00A3" w14:textId="77777777" w:rsidR="00AE1E07" w:rsidRPr="00D37F52" w:rsidRDefault="00AE1E07" w:rsidP="0028025C">
            <w:pPr>
              <w:rPr>
                <w:rFonts w:cs="Arial"/>
                <w:bCs/>
                <w:color w:val="FF0000"/>
                <w:sz w:val="24"/>
                <w:szCs w:val="24"/>
              </w:rPr>
            </w:pPr>
          </w:p>
        </w:tc>
      </w:tr>
      <w:tr w:rsidR="00D37F52" w:rsidRPr="00D37F52" w14:paraId="328FBEF3" w14:textId="77777777" w:rsidTr="00E72676">
        <w:tc>
          <w:tcPr>
            <w:tcW w:w="988" w:type="dxa"/>
            <w:tcBorders>
              <w:bottom w:val="nil"/>
            </w:tcBorders>
          </w:tcPr>
          <w:p w14:paraId="651295A0" w14:textId="16216582" w:rsidR="00AE1E07" w:rsidRPr="00BF4C75" w:rsidRDefault="00BF4C75" w:rsidP="0028025C">
            <w:pPr>
              <w:rPr>
                <w:rFonts w:cs="Arial"/>
                <w:b/>
                <w:bCs/>
                <w:sz w:val="24"/>
                <w:szCs w:val="24"/>
              </w:rPr>
            </w:pPr>
            <w:r w:rsidRPr="00BF4C75">
              <w:rPr>
                <w:rFonts w:cs="Arial"/>
                <w:b/>
                <w:bCs/>
                <w:sz w:val="24"/>
                <w:szCs w:val="24"/>
              </w:rPr>
              <w:t>3.2</w:t>
            </w:r>
          </w:p>
        </w:tc>
        <w:tc>
          <w:tcPr>
            <w:tcW w:w="9922" w:type="dxa"/>
            <w:tcBorders>
              <w:bottom w:val="nil"/>
            </w:tcBorders>
          </w:tcPr>
          <w:p w14:paraId="150316D6" w14:textId="77777777" w:rsidR="00AE1E07" w:rsidRPr="00BF4C75" w:rsidRDefault="00AE1E07" w:rsidP="0028025C">
            <w:pPr>
              <w:rPr>
                <w:rFonts w:cs="Arial"/>
                <w:b/>
                <w:bCs/>
                <w:sz w:val="24"/>
                <w:szCs w:val="24"/>
              </w:rPr>
            </w:pPr>
            <w:r w:rsidRPr="00BF4C75">
              <w:rPr>
                <w:rFonts w:cs="Arial"/>
                <w:b/>
                <w:bCs/>
                <w:sz w:val="24"/>
                <w:szCs w:val="24"/>
              </w:rPr>
              <w:t>Primary Care Budgets</w:t>
            </w:r>
          </w:p>
        </w:tc>
      </w:tr>
      <w:tr w:rsidR="00D37F52" w:rsidRPr="00D37F52" w14:paraId="57863944" w14:textId="77777777" w:rsidTr="00E72676">
        <w:tc>
          <w:tcPr>
            <w:tcW w:w="988" w:type="dxa"/>
            <w:tcBorders>
              <w:top w:val="nil"/>
              <w:bottom w:val="single" w:sz="4" w:space="0" w:color="auto"/>
            </w:tcBorders>
          </w:tcPr>
          <w:p w14:paraId="4F9D3463" w14:textId="77777777" w:rsidR="00AE1E07" w:rsidRPr="00BF4C75" w:rsidRDefault="00AE1E07" w:rsidP="0028025C">
            <w:pPr>
              <w:rPr>
                <w:rFonts w:cs="Arial"/>
                <w:b/>
                <w:bCs/>
                <w:sz w:val="24"/>
                <w:szCs w:val="24"/>
              </w:rPr>
            </w:pPr>
          </w:p>
        </w:tc>
        <w:tc>
          <w:tcPr>
            <w:tcW w:w="9922" w:type="dxa"/>
            <w:tcBorders>
              <w:top w:val="nil"/>
              <w:bottom w:val="single" w:sz="4" w:space="0" w:color="auto"/>
            </w:tcBorders>
          </w:tcPr>
          <w:p w14:paraId="5CEF9813" w14:textId="1F8D3E51" w:rsidR="00AE1E07" w:rsidRPr="00336B1B" w:rsidRDefault="00336B1B" w:rsidP="0028025C">
            <w:pPr>
              <w:rPr>
                <w:rFonts w:cs="Arial"/>
                <w:bCs/>
                <w:sz w:val="24"/>
                <w:szCs w:val="24"/>
                <w:u w:val="single"/>
              </w:rPr>
            </w:pPr>
            <w:r w:rsidRPr="00336B1B">
              <w:rPr>
                <w:rFonts w:cs="Arial"/>
                <w:bCs/>
                <w:sz w:val="24"/>
                <w:szCs w:val="24"/>
                <w:u w:val="single"/>
              </w:rPr>
              <w:t>GP Budgets</w:t>
            </w:r>
          </w:p>
          <w:p w14:paraId="6EA9F022" w14:textId="15954834" w:rsidR="00AE1E07" w:rsidRPr="00BF4C75" w:rsidRDefault="00AE1E07" w:rsidP="0028025C">
            <w:pPr>
              <w:rPr>
                <w:rFonts w:cs="Arial"/>
                <w:bCs/>
                <w:sz w:val="24"/>
                <w:szCs w:val="24"/>
              </w:rPr>
            </w:pPr>
            <w:r w:rsidRPr="00BF4C75">
              <w:rPr>
                <w:rFonts w:cs="Arial"/>
                <w:bCs/>
                <w:sz w:val="24"/>
                <w:szCs w:val="24"/>
              </w:rPr>
              <w:t>The revised allocation for Gloucestershire’s primary care budgets is £1</w:t>
            </w:r>
            <w:r w:rsidR="00BF4C75">
              <w:rPr>
                <w:rFonts w:cs="Arial"/>
                <w:bCs/>
                <w:sz w:val="24"/>
                <w:szCs w:val="24"/>
              </w:rPr>
              <w:t>1</w:t>
            </w:r>
            <w:r w:rsidRPr="00BF4C75">
              <w:rPr>
                <w:rFonts w:cs="Arial"/>
                <w:bCs/>
                <w:sz w:val="24"/>
                <w:szCs w:val="24"/>
              </w:rPr>
              <w:t>4</w:t>
            </w:r>
            <w:r w:rsidR="00BF4C75">
              <w:rPr>
                <w:rFonts w:cs="Arial"/>
                <w:bCs/>
                <w:sz w:val="24"/>
                <w:szCs w:val="24"/>
              </w:rPr>
              <w:t>m</w:t>
            </w:r>
            <w:r w:rsidRPr="00BF4C75">
              <w:rPr>
                <w:rFonts w:cs="Arial"/>
                <w:bCs/>
                <w:sz w:val="24"/>
                <w:szCs w:val="24"/>
              </w:rPr>
              <w:t>.  This</w:t>
            </w:r>
            <w:r w:rsidR="00BF4C75">
              <w:rPr>
                <w:rFonts w:cs="Arial"/>
                <w:bCs/>
                <w:sz w:val="24"/>
                <w:szCs w:val="24"/>
              </w:rPr>
              <w:t xml:space="preserve"> includes a transfer of £3.7m relating to GP access funding from the programme allocation</w:t>
            </w:r>
            <w:r w:rsidRPr="00BF4C75">
              <w:rPr>
                <w:rFonts w:cs="Arial"/>
                <w:bCs/>
                <w:sz w:val="24"/>
                <w:szCs w:val="24"/>
              </w:rPr>
              <w:t xml:space="preserve"> </w:t>
            </w:r>
            <w:r w:rsidR="00BF4C75">
              <w:rPr>
                <w:rFonts w:cs="Arial"/>
                <w:bCs/>
                <w:sz w:val="24"/>
                <w:szCs w:val="24"/>
              </w:rPr>
              <w:t>and an uplift of 6.48%.</w:t>
            </w:r>
            <w:r w:rsidRPr="00BF4C75">
              <w:rPr>
                <w:rFonts w:cs="Arial"/>
                <w:bCs/>
                <w:sz w:val="24"/>
                <w:szCs w:val="24"/>
              </w:rPr>
              <w:t xml:space="preserve">  </w:t>
            </w:r>
          </w:p>
          <w:p w14:paraId="086E4363" w14:textId="77777777" w:rsidR="00AE1E07" w:rsidRPr="00BF4C75" w:rsidRDefault="00AE1E07" w:rsidP="0028025C">
            <w:pPr>
              <w:rPr>
                <w:rFonts w:cs="Arial"/>
                <w:bCs/>
                <w:sz w:val="24"/>
                <w:szCs w:val="24"/>
              </w:rPr>
            </w:pPr>
          </w:p>
          <w:p w14:paraId="091BEA56" w14:textId="74F10117" w:rsidR="00AE1E07" w:rsidRPr="00BF4C75" w:rsidRDefault="00AE1E07" w:rsidP="0028025C">
            <w:pPr>
              <w:rPr>
                <w:rFonts w:cs="Arial"/>
                <w:bCs/>
                <w:sz w:val="24"/>
                <w:szCs w:val="24"/>
              </w:rPr>
            </w:pPr>
            <w:r w:rsidRPr="00BF4C75">
              <w:rPr>
                <w:rFonts w:cs="Arial"/>
                <w:bCs/>
                <w:sz w:val="24"/>
                <w:szCs w:val="24"/>
              </w:rPr>
              <w:t xml:space="preserve">The budgets (Appendix </w:t>
            </w:r>
            <w:r w:rsidR="00336B1B">
              <w:rPr>
                <w:rFonts w:cs="Arial"/>
                <w:bCs/>
                <w:sz w:val="24"/>
                <w:szCs w:val="24"/>
              </w:rPr>
              <w:t>2</w:t>
            </w:r>
            <w:r w:rsidRPr="00BF4C75">
              <w:rPr>
                <w:rFonts w:cs="Arial"/>
                <w:bCs/>
                <w:sz w:val="24"/>
                <w:szCs w:val="24"/>
              </w:rPr>
              <w:t xml:space="preserve">) have been built up from the budgets and expenditure profile in 2022/23 and known changes to the GP contract.  </w:t>
            </w:r>
          </w:p>
          <w:p w14:paraId="0EF98FA8" w14:textId="77777777" w:rsidR="00AE1E07" w:rsidRPr="00BF4C75" w:rsidRDefault="00AE1E07" w:rsidP="0028025C">
            <w:pPr>
              <w:rPr>
                <w:rFonts w:cs="Arial"/>
                <w:bCs/>
                <w:sz w:val="24"/>
                <w:szCs w:val="24"/>
              </w:rPr>
            </w:pPr>
          </w:p>
          <w:p w14:paraId="1708CC2B" w14:textId="089C6898" w:rsidR="00AE1E07" w:rsidRDefault="00AE1E07" w:rsidP="0028025C">
            <w:pPr>
              <w:rPr>
                <w:rFonts w:cs="Arial"/>
                <w:bCs/>
                <w:sz w:val="24"/>
                <w:szCs w:val="24"/>
              </w:rPr>
            </w:pPr>
            <w:r w:rsidRPr="00BF4C75">
              <w:rPr>
                <w:rFonts w:cs="Arial"/>
                <w:bCs/>
                <w:sz w:val="24"/>
                <w:szCs w:val="24"/>
              </w:rPr>
              <w:t xml:space="preserve">There remains a high degree of risk in delegated budgets and there is an additional overcommitment on the delegated primary care budget; this is due to </w:t>
            </w:r>
            <w:proofErr w:type="gramStart"/>
            <w:r w:rsidRPr="00BF4C75">
              <w:rPr>
                <w:rFonts w:cs="Arial"/>
                <w:bCs/>
                <w:sz w:val="24"/>
                <w:szCs w:val="24"/>
              </w:rPr>
              <w:t>a number of</w:t>
            </w:r>
            <w:proofErr w:type="gramEnd"/>
            <w:r w:rsidRPr="00BF4C75">
              <w:rPr>
                <w:rFonts w:cs="Arial"/>
                <w:bCs/>
                <w:sz w:val="24"/>
                <w:szCs w:val="24"/>
              </w:rPr>
              <w:t xml:space="preserve"> factors including the historic adjustment for clinical liability, the impact of national contract changes over a number of years where mandated expenditure increases do not match growth in allocation and the </w:t>
            </w:r>
            <w:r w:rsidR="00BF4C75">
              <w:rPr>
                <w:rFonts w:cs="Arial"/>
                <w:bCs/>
                <w:sz w:val="24"/>
                <w:szCs w:val="24"/>
              </w:rPr>
              <w:t>ICB</w:t>
            </w:r>
            <w:r w:rsidRPr="00BF4C75">
              <w:rPr>
                <w:rFonts w:cs="Arial"/>
                <w:bCs/>
                <w:sz w:val="24"/>
                <w:szCs w:val="24"/>
              </w:rPr>
              <w:t xml:space="preserve"> investment decisions in primary care premises.   Any shortfall in the delegated budgets is a call on the programme allocation.</w:t>
            </w:r>
          </w:p>
          <w:p w14:paraId="7365476A" w14:textId="0F719031" w:rsidR="00336B1B" w:rsidRDefault="00336B1B" w:rsidP="0028025C">
            <w:pPr>
              <w:rPr>
                <w:rFonts w:cs="Arial"/>
                <w:bCs/>
                <w:sz w:val="24"/>
                <w:szCs w:val="24"/>
              </w:rPr>
            </w:pPr>
          </w:p>
          <w:p w14:paraId="12B563D2" w14:textId="2483D358" w:rsidR="00336B1B" w:rsidRPr="00336B1B" w:rsidRDefault="00336B1B" w:rsidP="0028025C">
            <w:pPr>
              <w:rPr>
                <w:rFonts w:cs="Arial"/>
                <w:bCs/>
                <w:sz w:val="24"/>
                <w:szCs w:val="24"/>
                <w:u w:val="single"/>
              </w:rPr>
            </w:pPr>
            <w:r w:rsidRPr="00336B1B">
              <w:rPr>
                <w:rFonts w:cs="Arial"/>
                <w:bCs/>
                <w:sz w:val="24"/>
                <w:szCs w:val="24"/>
                <w:u w:val="single"/>
              </w:rPr>
              <w:t>Pharmacy, Ophthalmology and Dental Budgets</w:t>
            </w:r>
          </w:p>
          <w:p w14:paraId="235A8429" w14:textId="77777777" w:rsidR="00AE1E07" w:rsidRDefault="00336B1B" w:rsidP="0028025C">
            <w:pPr>
              <w:rPr>
                <w:rFonts w:cs="Arial"/>
                <w:sz w:val="24"/>
                <w:szCs w:val="24"/>
              </w:rPr>
            </w:pPr>
            <w:r w:rsidRPr="00336B1B">
              <w:rPr>
                <w:rFonts w:cs="Arial"/>
                <w:sz w:val="24"/>
                <w:szCs w:val="24"/>
              </w:rPr>
              <w:t xml:space="preserve">The </w:t>
            </w:r>
            <w:r>
              <w:rPr>
                <w:rFonts w:cs="Arial"/>
                <w:sz w:val="24"/>
                <w:szCs w:val="24"/>
              </w:rPr>
              <w:t>budgets are shown in Appendix 3 and there is ongoing work with NHSE as part of the delegation agreement process to ensure that budgets and contracts are fully understood and can be managed appropriately during the year.</w:t>
            </w:r>
          </w:p>
          <w:p w14:paraId="10F30EAA" w14:textId="3B22065A" w:rsidR="00336B1B" w:rsidRPr="00336B1B" w:rsidRDefault="00336B1B" w:rsidP="0028025C">
            <w:pPr>
              <w:rPr>
                <w:rFonts w:cs="Arial"/>
                <w:sz w:val="24"/>
                <w:szCs w:val="24"/>
              </w:rPr>
            </w:pPr>
          </w:p>
        </w:tc>
      </w:tr>
      <w:tr w:rsidR="00D37F52" w:rsidRPr="00D37F52" w14:paraId="4DEE729B" w14:textId="77777777" w:rsidTr="00E72676">
        <w:tc>
          <w:tcPr>
            <w:tcW w:w="988" w:type="dxa"/>
            <w:tcBorders>
              <w:bottom w:val="nil"/>
            </w:tcBorders>
          </w:tcPr>
          <w:p w14:paraId="534FD7AB" w14:textId="06F57085" w:rsidR="00AE1E07" w:rsidRPr="00BF4C75" w:rsidRDefault="00BF4C75" w:rsidP="0028025C">
            <w:pPr>
              <w:rPr>
                <w:rFonts w:cs="Arial"/>
                <w:b/>
                <w:bCs/>
                <w:sz w:val="24"/>
                <w:szCs w:val="24"/>
              </w:rPr>
            </w:pPr>
            <w:r w:rsidRPr="00BF4C75">
              <w:rPr>
                <w:rFonts w:cs="Arial"/>
                <w:b/>
                <w:bCs/>
                <w:sz w:val="24"/>
                <w:szCs w:val="24"/>
              </w:rPr>
              <w:t>4.0</w:t>
            </w:r>
          </w:p>
        </w:tc>
        <w:tc>
          <w:tcPr>
            <w:tcW w:w="9922" w:type="dxa"/>
            <w:tcBorders>
              <w:bottom w:val="nil"/>
            </w:tcBorders>
          </w:tcPr>
          <w:p w14:paraId="39119F87" w14:textId="77777777" w:rsidR="00AE1E07" w:rsidRPr="00BF4C75" w:rsidRDefault="00AE1E07" w:rsidP="0028025C">
            <w:pPr>
              <w:rPr>
                <w:rFonts w:cs="Arial"/>
                <w:b/>
                <w:bCs/>
                <w:sz w:val="24"/>
                <w:szCs w:val="24"/>
              </w:rPr>
            </w:pPr>
            <w:r w:rsidRPr="00BF4C75">
              <w:rPr>
                <w:rFonts w:cs="Arial"/>
                <w:b/>
                <w:bCs/>
                <w:sz w:val="24"/>
                <w:szCs w:val="24"/>
              </w:rPr>
              <w:t>Productivity and Efficiency Requirements</w:t>
            </w:r>
          </w:p>
          <w:p w14:paraId="7421C0CD" w14:textId="77777777" w:rsidR="00AE1E07" w:rsidRPr="00BF4C75" w:rsidRDefault="00AE1E07" w:rsidP="0028025C">
            <w:pPr>
              <w:rPr>
                <w:rFonts w:cs="Arial"/>
                <w:b/>
                <w:bCs/>
                <w:sz w:val="24"/>
                <w:szCs w:val="24"/>
              </w:rPr>
            </w:pPr>
          </w:p>
        </w:tc>
      </w:tr>
      <w:tr w:rsidR="00D37F52" w:rsidRPr="00D37F52" w14:paraId="6927E386" w14:textId="77777777" w:rsidTr="00E72676">
        <w:tc>
          <w:tcPr>
            <w:tcW w:w="988" w:type="dxa"/>
            <w:tcBorders>
              <w:top w:val="nil"/>
              <w:bottom w:val="nil"/>
            </w:tcBorders>
          </w:tcPr>
          <w:p w14:paraId="4FAF8125" w14:textId="77777777" w:rsidR="00AE1E07" w:rsidRPr="00BF4C75" w:rsidRDefault="00AE1E07" w:rsidP="0028025C">
            <w:pPr>
              <w:rPr>
                <w:rFonts w:cs="Arial"/>
                <w:bCs/>
                <w:sz w:val="24"/>
                <w:szCs w:val="24"/>
              </w:rPr>
            </w:pPr>
          </w:p>
        </w:tc>
        <w:tc>
          <w:tcPr>
            <w:tcW w:w="9922" w:type="dxa"/>
            <w:tcBorders>
              <w:top w:val="nil"/>
              <w:bottom w:val="nil"/>
            </w:tcBorders>
          </w:tcPr>
          <w:p w14:paraId="1AFA444E" w14:textId="7EFFCFA1" w:rsidR="00AE1E07" w:rsidRPr="00BF4C75" w:rsidRDefault="00AE1E07" w:rsidP="0028025C">
            <w:pPr>
              <w:rPr>
                <w:rFonts w:cs="Arial"/>
                <w:bCs/>
                <w:sz w:val="24"/>
                <w:szCs w:val="24"/>
              </w:rPr>
            </w:pPr>
            <w:r w:rsidRPr="00BF4C75">
              <w:rPr>
                <w:rFonts w:cs="Arial"/>
                <w:bCs/>
                <w:sz w:val="24"/>
                <w:szCs w:val="24"/>
              </w:rPr>
              <w:t xml:space="preserve">The </w:t>
            </w:r>
            <w:r w:rsidR="00BF4C75">
              <w:rPr>
                <w:rFonts w:cs="Arial"/>
                <w:bCs/>
                <w:sz w:val="24"/>
                <w:szCs w:val="24"/>
              </w:rPr>
              <w:t>ICB’s</w:t>
            </w:r>
            <w:r w:rsidRPr="00BF4C75">
              <w:rPr>
                <w:rFonts w:cs="Arial"/>
                <w:bCs/>
                <w:sz w:val="24"/>
                <w:szCs w:val="24"/>
              </w:rPr>
              <w:t xml:space="preserve"> interim budget includes an efficiency programme as </w:t>
            </w:r>
            <w:proofErr w:type="gramStart"/>
            <w:r w:rsidRPr="00BF4C75">
              <w:rPr>
                <w:rFonts w:cs="Arial"/>
                <w:bCs/>
                <w:sz w:val="24"/>
                <w:szCs w:val="24"/>
              </w:rPr>
              <w:t>follows;</w:t>
            </w:r>
            <w:proofErr w:type="gramEnd"/>
          </w:p>
          <w:p w14:paraId="0E1B3257" w14:textId="4A73DB60" w:rsidR="00AE1E07" w:rsidRPr="00BF4C75" w:rsidRDefault="00AE1E07" w:rsidP="00AE1E07">
            <w:pPr>
              <w:pStyle w:val="ListParagraph"/>
              <w:numPr>
                <w:ilvl w:val="0"/>
                <w:numId w:val="20"/>
              </w:numPr>
              <w:spacing w:line="240" w:lineRule="auto"/>
              <w:contextualSpacing w:val="0"/>
              <w:rPr>
                <w:rFonts w:cs="Arial"/>
                <w:bCs/>
                <w:sz w:val="24"/>
                <w:szCs w:val="24"/>
              </w:rPr>
            </w:pPr>
            <w:r w:rsidRPr="00BF4C75">
              <w:rPr>
                <w:rFonts w:cs="Arial"/>
                <w:bCs/>
                <w:sz w:val="24"/>
                <w:szCs w:val="24"/>
              </w:rPr>
              <w:t>£</w:t>
            </w:r>
            <w:r w:rsidR="00E0185B">
              <w:rPr>
                <w:rFonts w:cs="Arial"/>
                <w:bCs/>
                <w:sz w:val="24"/>
                <w:szCs w:val="24"/>
              </w:rPr>
              <w:t>3.0</w:t>
            </w:r>
            <w:r w:rsidRPr="00BF4C75">
              <w:rPr>
                <w:rFonts w:cs="Arial"/>
                <w:bCs/>
                <w:sz w:val="24"/>
                <w:szCs w:val="24"/>
              </w:rPr>
              <w:t>m medicines management programme</w:t>
            </w:r>
          </w:p>
          <w:p w14:paraId="4466EA74" w14:textId="3F866892" w:rsidR="00AE1E07" w:rsidRDefault="00AE1E07" w:rsidP="00AE1E07">
            <w:pPr>
              <w:pStyle w:val="ListParagraph"/>
              <w:numPr>
                <w:ilvl w:val="0"/>
                <w:numId w:val="20"/>
              </w:numPr>
              <w:spacing w:line="240" w:lineRule="auto"/>
              <w:contextualSpacing w:val="0"/>
              <w:rPr>
                <w:rFonts w:cs="Arial"/>
                <w:bCs/>
                <w:sz w:val="24"/>
                <w:szCs w:val="24"/>
              </w:rPr>
            </w:pPr>
            <w:r w:rsidRPr="00BF4C75">
              <w:rPr>
                <w:rFonts w:cs="Arial"/>
                <w:bCs/>
                <w:sz w:val="24"/>
                <w:szCs w:val="24"/>
              </w:rPr>
              <w:t>£1.</w:t>
            </w:r>
            <w:r w:rsidR="00E0185B">
              <w:rPr>
                <w:rFonts w:cs="Arial"/>
                <w:bCs/>
                <w:sz w:val="24"/>
                <w:szCs w:val="24"/>
              </w:rPr>
              <w:t>5</w:t>
            </w:r>
            <w:r w:rsidRPr="00BF4C75">
              <w:rPr>
                <w:rFonts w:cs="Arial"/>
                <w:bCs/>
                <w:sz w:val="24"/>
                <w:szCs w:val="24"/>
              </w:rPr>
              <w:t>m CHC &amp; placements</w:t>
            </w:r>
          </w:p>
          <w:p w14:paraId="22668A5F" w14:textId="74597F29" w:rsidR="00E0185B" w:rsidRPr="00BF4C75" w:rsidRDefault="00E0185B" w:rsidP="00AE1E07">
            <w:pPr>
              <w:pStyle w:val="ListParagraph"/>
              <w:numPr>
                <w:ilvl w:val="0"/>
                <w:numId w:val="20"/>
              </w:numPr>
              <w:spacing w:line="240" w:lineRule="auto"/>
              <w:contextualSpacing w:val="0"/>
              <w:rPr>
                <w:rFonts w:cs="Arial"/>
                <w:bCs/>
                <w:sz w:val="24"/>
                <w:szCs w:val="24"/>
              </w:rPr>
            </w:pPr>
            <w:r>
              <w:rPr>
                <w:rFonts w:cs="Arial"/>
                <w:bCs/>
                <w:sz w:val="24"/>
                <w:szCs w:val="24"/>
              </w:rPr>
              <w:t>£3.1m from discharge to assess bed costs and associated budgets</w:t>
            </w:r>
          </w:p>
          <w:p w14:paraId="3B3D3C7B" w14:textId="3F008F8E" w:rsidR="00AE1E07" w:rsidRPr="00BF4C75" w:rsidRDefault="00AE1E07" w:rsidP="00AE1E07">
            <w:pPr>
              <w:pStyle w:val="ListParagraph"/>
              <w:numPr>
                <w:ilvl w:val="0"/>
                <w:numId w:val="20"/>
              </w:numPr>
              <w:spacing w:line="240" w:lineRule="auto"/>
              <w:contextualSpacing w:val="0"/>
              <w:rPr>
                <w:rFonts w:cs="Arial"/>
                <w:bCs/>
                <w:sz w:val="24"/>
                <w:szCs w:val="24"/>
              </w:rPr>
            </w:pPr>
            <w:r w:rsidRPr="00BF4C75">
              <w:rPr>
                <w:rFonts w:cs="Arial"/>
                <w:bCs/>
                <w:sz w:val="24"/>
                <w:szCs w:val="24"/>
              </w:rPr>
              <w:t>£</w:t>
            </w:r>
            <w:r w:rsidR="00E0185B">
              <w:rPr>
                <w:rFonts w:cs="Arial"/>
                <w:bCs/>
                <w:sz w:val="24"/>
                <w:szCs w:val="24"/>
              </w:rPr>
              <w:t>2.1</w:t>
            </w:r>
            <w:r w:rsidRPr="00BF4C75">
              <w:rPr>
                <w:rFonts w:cs="Arial"/>
                <w:bCs/>
                <w:sz w:val="24"/>
                <w:szCs w:val="24"/>
              </w:rPr>
              <w:t>m 1.</w:t>
            </w:r>
            <w:r w:rsidR="00E0185B">
              <w:rPr>
                <w:rFonts w:cs="Arial"/>
                <w:bCs/>
                <w:sz w:val="24"/>
                <w:szCs w:val="24"/>
              </w:rPr>
              <w:t>8</w:t>
            </w:r>
            <w:r w:rsidRPr="00BF4C75">
              <w:rPr>
                <w:rFonts w:cs="Arial"/>
                <w:bCs/>
                <w:sz w:val="24"/>
                <w:szCs w:val="24"/>
              </w:rPr>
              <w:t>% efficiencies within other contracts</w:t>
            </w:r>
            <w:r w:rsidR="00E0185B">
              <w:rPr>
                <w:rFonts w:cs="Arial"/>
                <w:bCs/>
                <w:sz w:val="24"/>
                <w:szCs w:val="24"/>
              </w:rPr>
              <w:t xml:space="preserve"> plus additional contractual efficiencies </w:t>
            </w:r>
          </w:p>
          <w:p w14:paraId="37461A71" w14:textId="50FC9B26" w:rsidR="00AE1E07" w:rsidRPr="00BF4C75" w:rsidRDefault="00AE1E07" w:rsidP="00AE1E07">
            <w:pPr>
              <w:pStyle w:val="ListParagraph"/>
              <w:numPr>
                <w:ilvl w:val="0"/>
                <w:numId w:val="20"/>
              </w:numPr>
              <w:spacing w:line="240" w:lineRule="auto"/>
              <w:contextualSpacing w:val="0"/>
              <w:rPr>
                <w:rFonts w:cs="Arial"/>
                <w:bCs/>
                <w:sz w:val="24"/>
                <w:szCs w:val="24"/>
              </w:rPr>
            </w:pPr>
            <w:r w:rsidRPr="00BF4C75">
              <w:rPr>
                <w:rFonts w:cs="Arial"/>
                <w:bCs/>
                <w:sz w:val="24"/>
                <w:szCs w:val="24"/>
              </w:rPr>
              <w:t>£</w:t>
            </w:r>
            <w:r w:rsidR="00E0185B">
              <w:rPr>
                <w:rFonts w:cs="Arial"/>
                <w:bCs/>
                <w:sz w:val="24"/>
                <w:szCs w:val="24"/>
              </w:rPr>
              <w:t>3.4</w:t>
            </w:r>
            <w:r w:rsidRPr="00BF4C75">
              <w:rPr>
                <w:rFonts w:cs="Arial"/>
                <w:bCs/>
                <w:sz w:val="24"/>
                <w:szCs w:val="24"/>
              </w:rPr>
              <w:t>m other measures – already identified through budget reductions.</w:t>
            </w:r>
          </w:p>
          <w:p w14:paraId="17714023" w14:textId="77777777" w:rsidR="00AE1E07" w:rsidRPr="00BF4C75" w:rsidRDefault="00AE1E07" w:rsidP="0028025C">
            <w:pPr>
              <w:rPr>
                <w:rFonts w:cs="Arial"/>
                <w:bCs/>
                <w:sz w:val="24"/>
                <w:szCs w:val="24"/>
              </w:rPr>
            </w:pPr>
          </w:p>
          <w:p w14:paraId="6EB64572" w14:textId="77777777" w:rsidR="00AE1E07" w:rsidRPr="00BF4C75" w:rsidRDefault="00AE1E07" w:rsidP="0028025C">
            <w:pPr>
              <w:rPr>
                <w:rFonts w:cs="Arial"/>
                <w:bCs/>
                <w:sz w:val="24"/>
                <w:szCs w:val="24"/>
              </w:rPr>
            </w:pPr>
            <w:r w:rsidRPr="00BF4C75">
              <w:rPr>
                <w:rFonts w:cs="Arial"/>
                <w:bCs/>
                <w:sz w:val="24"/>
                <w:szCs w:val="24"/>
              </w:rPr>
              <w:t xml:space="preserve">The medicines programme is focussed on gaining the benefit from nationally negotiated prices </w:t>
            </w:r>
            <w:proofErr w:type="gramStart"/>
            <w:r w:rsidRPr="00BF4C75">
              <w:rPr>
                <w:rFonts w:cs="Arial"/>
                <w:bCs/>
                <w:sz w:val="24"/>
                <w:szCs w:val="24"/>
              </w:rPr>
              <w:t>and also</w:t>
            </w:r>
            <w:proofErr w:type="gramEnd"/>
            <w:r w:rsidRPr="00BF4C75">
              <w:rPr>
                <w:rFonts w:cs="Arial"/>
                <w:bCs/>
                <w:sz w:val="24"/>
                <w:szCs w:val="24"/>
              </w:rPr>
              <w:t xml:space="preserve"> on a number of areas where greater value can be obtained from existing prescribing expenditure either directly or within the system as a whole, medicines use review where frailer individuals have multiple medicines is one example of this focus.</w:t>
            </w:r>
          </w:p>
          <w:p w14:paraId="6193123C" w14:textId="77777777" w:rsidR="00AE1E07" w:rsidRPr="00BF4C75" w:rsidRDefault="00AE1E07" w:rsidP="0028025C">
            <w:pPr>
              <w:rPr>
                <w:rFonts w:cs="Arial"/>
                <w:bCs/>
                <w:sz w:val="24"/>
                <w:szCs w:val="24"/>
              </w:rPr>
            </w:pPr>
          </w:p>
          <w:p w14:paraId="622F7052" w14:textId="77777777" w:rsidR="00AE1E07" w:rsidRPr="00BF4C75" w:rsidRDefault="00AE1E07" w:rsidP="0028025C">
            <w:pPr>
              <w:rPr>
                <w:rFonts w:cs="Arial"/>
                <w:bCs/>
                <w:sz w:val="24"/>
                <w:szCs w:val="24"/>
              </w:rPr>
            </w:pPr>
            <w:r w:rsidRPr="00BF4C75">
              <w:rPr>
                <w:rFonts w:cs="Arial"/>
                <w:bCs/>
                <w:sz w:val="24"/>
                <w:szCs w:val="24"/>
              </w:rPr>
              <w:t>The CHC &amp; Placements programme includes the ongoing implementation of electronic call monitoring, regular reviews of cases, ensuring that guidance on eligibility for funding is followed and ensuring that services are delivered as per contracts.</w:t>
            </w:r>
          </w:p>
          <w:p w14:paraId="50F4E28A" w14:textId="77777777" w:rsidR="00AE1E07" w:rsidRPr="00BF4C75" w:rsidRDefault="00AE1E07" w:rsidP="0028025C">
            <w:pPr>
              <w:rPr>
                <w:rFonts w:cs="Arial"/>
                <w:bCs/>
                <w:sz w:val="24"/>
                <w:szCs w:val="24"/>
              </w:rPr>
            </w:pPr>
          </w:p>
          <w:p w14:paraId="5DA39F6C" w14:textId="799D6E63" w:rsidR="00AE1E07" w:rsidRPr="00BF4C75" w:rsidRDefault="00E0185B" w:rsidP="0028025C">
            <w:pPr>
              <w:tabs>
                <w:tab w:val="left" w:pos="3643"/>
              </w:tabs>
              <w:rPr>
                <w:rFonts w:cs="Arial"/>
                <w:bCs/>
                <w:sz w:val="24"/>
                <w:szCs w:val="24"/>
              </w:rPr>
            </w:pPr>
            <w:r>
              <w:rPr>
                <w:rFonts w:cs="Arial"/>
                <w:sz w:val="24"/>
                <w:szCs w:val="24"/>
              </w:rPr>
              <w:t>Discharge to assess bed costs increased significantly during the covid period and remain high, the Urgent Care Programme transformation programme plus investment in Home First should enable a shift to a more appropriate pathway for those discharged from a hospital setting leading to a reduced requirement for discharge to assess beds.</w:t>
            </w:r>
          </w:p>
        </w:tc>
      </w:tr>
      <w:tr w:rsidR="00D37F52" w:rsidRPr="00D37F52" w14:paraId="1B5A1F71" w14:textId="77777777" w:rsidTr="00E72676">
        <w:tc>
          <w:tcPr>
            <w:tcW w:w="988" w:type="dxa"/>
            <w:tcBorders>
              <w:top w:val="nil"/>
              <w:bottom w:val="single" w:sz="4" w:space="0" w:color="auto"/>
            </w:tcBorders>
          </w:tcPr>
          <w:p w14:paraId="3A507E19" w14:textId="77777777" w:rsidR="00AE1E07" w:rsidRPr="00D37F52" w:rsidRDefault="00AE1E07" w:rsidP="0028025C">
            <w:pPr>
              <w:rPr>
                <w:rFonts w:cs="Arial"/>
                <w:bCs/>
                <w:color w:val="FF0000"/>
                <w:sz w:val="24"/>
                <w:szCs w:val="24"/>
              </w:rPr>
            </w:pPr>
          </w:p>
        </w:tc>
        <w:tc>
          <w:tcPr>
            <w:tcW w:w="9922" w:type="dxa"/>
            <w:tcBorders>
              <w:top w:val="nil"/>
              <w:bottom w:val="single" w:sz="4" w:space="0" w:color="auto"/>
            </w:tcBorders>
          </w:tcPr>
          <w:p w14:paraId="3D024692" w14:textId="77777777" w:rsidR="00AE1E07" w:rsidRPr="00D37F52" w:rsidRDefault="00AE1E07" w:rsidP="0028025C">
            <w:pPr>
              <w:rPr>
                <w:rFonts w:cs="Arial"/>
                <w:bCs/>
                <w:color w:val="FF0000"/>
                <w:sz w:val="24"/>
                <w:szCs w:val="24"/>
                <w:highlight w:val="yellow"/>
              </w:rPr>
            </w:pPr>
          </w:p>
        </w:tc>
      </w:tr>
      <w:tr w:rsidR="00D37F52" w:rsidRPr="00D37F52" w14:paraId="1CDB14D8" w14:textId="77777777" w:rsidTr="00E72676">
        <w:tc>
          <w:tcPr>
            <w:tcW w:w="988" w:type="dxa"/>
            <w:tcBorders>
              <w:bottom w:val="nil"/>
            </w:tcBorders>
          </w:tcPr>
          <w:p w14:paraId="6B74E1B4" w14:textId="651A200D" w:rsidR="00AE1E07" w:rsidRPr="00E0185B" w:rsidRDefault="00E0185B" w:rsidP="0028025C">
            <w:pPr>
              <w:rPr>
                <w:rFonts w:cs="Arial"/>
                <w:b/>
                <w:bCs/>
                <w:sz w:val="24"/>
                <w:szCs w:val="24"/>
              </w:rPr>
            </w:pPr>
            <w:r w:rsidRPr="00E0185B">
              <w:rPr>
                <w:rFonts w:cs="Arial"/>
                <w:b/>
                <w:bCs/>
                <w:sz w:val="24"/>
                <w:szCs w:val="24"/>
              </w:rPr>
              <w:t>5.0</w:t>
            </w:r>
          </w:p>
        </w:tc>
        <w:tc>
          <w:tcPr>
            <w:tcW w:w="9922" w:type="dxa"/>
            <w:tcBorders>
              <w:bottom w:val="nil"/>
            </w:tcBorders>
          </w:tcPr>
          <w:p w14:paraId="7E03A44F" w14:textId="77777777" w:rsidR="00AE1E07" w:rsidRPr="00E0185B" w:rsidRDefault="00AE1E07" w:rsidP="0028025C">
            <w:pPr>
              <w:rPr>
                <w:rFonts w:cs="Arial"/>
                <w:b/>
                <w:bCs/>
                <w:sz w:val="24"/>
                <w:szCs w:val="24"/>
              </w:rPr>
            </w:pPr>
            <w:r w:rsidRPr="00E0185B">
              <w:rPr>
                <w:rFonts w:cs="Arial"/>
                <w:b/>
                <w:bCs/>
                <w:sz w:val="24"/>
                <w:szCs w:val="24"/>
              </w:rPr>
              <w:t>Reserves</w:t>
            </w:r>
          </w:p>
          <w:p w14:paraId="6CC35685" w14:textId="77777777" w:rsidR="00AE1E07" w:rsidRPr="00E0185B" w:rsidRDefault="00AE1E07" w:rsidP="0028025C">
            <w:pPr>
              <w:rPr>
                <w:rFonts w:cs="Arial"/>
                <w:b/>
                <w:bCs/>
                <w:sz w:val="24"/>
                <w:szCs w:val="24"/>
              </w:rPr>
            </w:pPr>
          </w:p>
        </w:tc>
      </w:tr>
      <w:tr w:rsidR="00D37F52" w:rsidRPr="00D37F52" w14:paraId="4A58955A" w14:textId="77777777" w:rsidTr="00E72676">
        <w:tc>
          <w:tcPr>
            <w:tcW w:w="988" w:type="dxa"/>
            <w:tcBorders>
              <w:top w:val="nil"/>
              <w:bottom w:val="single" w:sz="4" w:space="0" w:color="auto"/>
            </w:tcBorders>
          </w:tcPr>
          <w:p w14:paraId="1BBB64EF" w14:textId="77777777" w:rsidR="00AE1E07" w:rsidRPr="00E0185B" w:rsidRDefault="00AE1E07" w:rsidP="0028025C">
            <w:pPr>
              <w:rPr>
                <w:rFonts w:cs="Arial"/>
                <w:b/>
                <w:bCs/>
                <w:sz w:val="24"/>
                <w:szCs w:val="24"/>
              </w:rPr>
            </w:pPr>
          </w:p>
        </w:tc>
        <w:tc>
          <w:tcPr>
            <w:tcW w:w="9922" w:type="dxa"/>
            <w:tcBorders>
              <w:top w:val="nil"/>
              <w:bottom w:val="single" w:sz="4" w:space="0" w:color="auto"/>
            </w:tcBorders>
          </w:tcPr>
          <w:p w14:paraId="7F1BDCB8" w14:textId="628CEE16" w:rsidR="00AE1E07" w:rsidRPr="00E0185B" w:rsidRDefault="00AE1E07" w:rsidP="0028025C">
            <w:pPr>
              <w:rPr>
                <w:rFonts w:cs="Arial"/>
                <w:bCs/>
                <w:sz w:val="24"/>
                <w:szCs w:val="24"/>
              </w:rPr>
            </w:pPr>
            <w:r w:rsidRPr="00E0185B">
              <w:rPr>
                <w:rFonts w:cs="Arial"/>
                <w:bCs/>
                <w:sz w:val="24"/>
                <w:szCs w:val="24"/>
              </w:rPr>
              <w:t xml:space="preserve">The </w:t>
            </w:r>
            <w:r w:rsidR="00BF4C75" w:rsidRPr="00E0185B">
              <w:rPr>
                <w:rFonts w:cs="Arial"/>
                <w:bCs/>
                <w:sz w:val="24"/>
                <w:szCs w:val="24"/>
              </w:rPr>
              <w:t>ICB</w:t>
            </w:r>
            <w:r w:rsidRPr="00E0185B">
              <w:rPr>
                <w:rFonts w:cs="Arial"/>
                <w:bCs/>
                <w:sz w:val="24"/>
                <w:szCs w:val="24"/>
              </w:rPr>
              <w:t xml:space="preserve"> </w:t>
            </w:r>
            <w:r w:rsidR="00E0185B" w:rsidRPr="00E0185B">
              <w:rPr>
                <w:rFonts w:cs="Arial"/>
                <w:bCs/>
                <w:sz w:val="24"/>
                <w:szCs w:val="24"/>
              </w:rPr>
              <w:t>proposed</w:t>
            </w:r>
            <w:r w:rsidRPr="00E0185B">
              <w:rPr>
                <w:rFonts w:cs="Arial"/>
                <w:bCs/>
                <w:sz w:val="24"/>
                <w:szCs w:val="24"/>
              </w:rPr>
              <w:t xml:space="preserve"> budget </w:t>
            </w:r>
            <w:r w:rsidR="00E0185B" w:rsidRPr="00E0185B">
              <w:rPr>
                <w:rFonts w:cs="Arial"/>
                <w:bCs/>
                <w:sz w:val="24"/>
                <w:szCs w:val="24"/>
              </w:rPr>
              <w:t>does not include a c</w:t>
            </w:r>
            <w:r w:rsidR="00336B1B">
              <w:rPr>
                <w:rFonts w:cs="Arial"/>
                <w:bCs/>
                <w:sz w:val="24"/>
                <w:szCs w:val="24"/>
              </w:rPr>
              <w:t>o</w:t>
            </w:r>
            <w:r w:rsidRPr="00E0185B">
              <w:rPr>
                <w:rFonts w:cs="Arial"/>
                <w:bCs/>
                <w:sz w:val="24"/>
                <w:szCs w:val="24"/>
              </w:rPr>
              <w:t xml:space="preserve">ntingency.  </w:t>
            </w:r>
          </w:p>
          <w:p w14:paraId="6AEF6C03" w14:textId="77777777" w:rsidR="00AE1E07" w:rsidRPr="00E0185B" w:rsidRDefault="00AE1E07" w:rsidP="0028025C">
            <w:pPr>
              <w:rPr>
                <w:rFonts w:cs="Arial"/>
                <w:bCs/>
                <w:sz w:val="24"/>
                <w:szCs w:val="24"/>
              </w:rPr>
            </w:pPr>
          </w:p>
          <w:p w14:paraId="7E0FA1F4" w14:textId="33D33646" w:rsidR="00AE1E07" w:rsidRPr="00E0185B" w:rsidRDefault="00AE1E07" w:rsidP="0028025C">
            <w:pPr>
              <w:rPr>
                <w:rFonts w:cs="Arial"/>
                <w:bCs/>
                <w:sz w:val="24"/>
                <w:szCs w:val="24"/>
              </w:rPr>
            </w:pPr>
            <w:r w:rsidRPr="00E0185B">
              <w:rPr>
                <w:rFonts w:cs="Arial"/>
                <w:bCs/>
                <w:sz w:val="24"/>
                <w:szCs w:val="24"/>
              </w:rPr>
              <w:t>All other reserve balances relate to approved commitments</w:t>
            </w:r>
            <w:r w:rsidR="00E0185B">
              <w:rPr>
                <w:rFonts w:cs="Arial"/>
                <w:bCs/>
                <w:sz w:val="24"/>
                <w:szCs w:val="24"/>
              </w:rPr>
              <w:t xml:space="preserve"> or specific allocations</w:t>
            </w:r>
            <w:r w:rsidRPr="00E0185B">
              <w:rPr>
                <w:rFonts w:cs="Arial"/>
                <w:bCs/>
                <w:sz w:val="24"/>
                <w:szCs w:val="24"/>
              </w:rPr>
              <w:t xml:space="preserve"> which have been approved in either this or a previous financial year.</w:t>
            </w:r>
          </w:p>
          <w:p w14:paraId="38C4F903" w14:textId="77777777" w:rsidR="00AE1E07" w:rsidRPr="00E0185B" w:rsidRDefault="00AE1E07" w:rsidP="0028025C">
            <w:pPr>
              <w:rPr>
                <w:rFonts w:cs="Arial"/>
                <w:bCs/>
                <w:sz w:val="24"/>
                <w:szCs w:val="24"/>
              </w:rPr>
            </w:pPr>
          </w:p>
          <w:p w14:paraId="7791CD2A" w14:textId="77777777" w:rsidR="00AE1E07" w:rsidRPr="00E0185B" w:rsidRDefault="00AE1E07" w:rsidP="0028025C">
            <w:pPr>
              <w:rPr>
                <w:rFonts w:cs="Arial"/>
                <w:bCs/>
                <w:sz w:val="24"/>
                <w:szCs w:val="24"/>
              </w:rPr>
            </w:pPr>
            <w:r w:rsidRPr="00E0185B">
              <w:rPr>
                <w:rFonts w:cs="Arial"/>
                <w:bCs/>
                <w:sz w:val="24"/>
                <w:szCs w:val="24"/>
              </w:rPr>
              <w:t>Any investments, where an approved business case or contract variation has yet to be signed off, will be held in reserves until approval and additional spend is incurred.</w:t>
            </w:r>
          </w:p>
          <w:p w14:paraId="2F78C5BC" w14:textId="77777777" w:rsidR="00AE1E07" w:rsidRPr="00E0185B" w:rsidRDefault="00AE1E07" w:rsidP="0028025C">
            <w:pPr>
              <w:rPr>
                <w:rFonts w:cs="Arial"/>
                <w:bCs/>
                <w:sz w:val="24"/>
                <w:szCs w:val="24"/>
              </w:rPr>
            </w:pPr>
          </w:p>
          <w:p w14:paraId="7968F3A9" w14:textId="5DB4C585" w:rsidR="00AE1E07" w:rsidRPr="00E0185B" w:rsidRDefault="00AE1E07" w:rsidP="00E0185B">
            <w:pPr>
              <w:rPr>
                <w:rFonts w:cs="Arial"/>
                <w:bCs/>
                <w:sz w:val="24"/>
                <w:szCs w:val="24"/>
              </w:rPr>
            </w:pPr>
            <w:r w:rsidRPr="00E0185B">
              <w:rPr>
                <w:rFonts w:cs="Arial"/>
                <w:bCs/>
                <w:sz w:val="24"/>
                <w:szCs w:val="24"/>
              </w:rPr>
              <w:t xml:space="preserve">Additional measures need to be considered in year to generate extra savings to increase the </w:t>
            </w:r>
            <w:r w:rsidR="00E0185B">
              <w:rPr>
                <w:rFonts w:cs="Arial"/>
                <w:bCs/>
                <w:sz w:val="24"/>
                <w:szCs w:val="24"/>
              </w:rPr>
              <w:t xml:space="preserve">System’s ability to manage financial risk in year. </w:t>
            </w:r>
          </w:p>
        </w:tc>
      </w:tr>
      <w:tr w:rsidR="00D37F52" w:rsidRPr="00D37F52" w14:paraId="2233444A" w14:textId="77777777" w:rsidTr="00E72676">
        <w:tc>
          <w:tcPr>
            <w:tcW w:w="988" w:type="dxa"/>
            <w:tcBorders>
              <w:bottom w:val="nil"/>
            </w:tcBorders>
          </w:tcPr>
          <w:p w14:paraId="43667A62" w14:textId="089BEE5D" w:rsidR="00AE1E07" w:rsidRPr="00E0185B" w:rsidRDefault="00E0185B" w:rsidP="0028025C">
            <w:pPr>
              <w:rPr>
                <w:rFonts w:cs="Arial"/>
                <w:b/>
                <w:bCs/>
                <w:sz w:val="24"/>
                <w:szCs w:val="24"/>
              </w:rPr>
            </w:pPr>
            <w:r w:rsidRPr="00E0185B">
              <w:rPr>
                <w:rFonts w:cs="Arial"/>
                <w:b/>
                <w:bCs/>
                <w:sz w:val="24"/>
                <w:szCs w:val="24"/>
              </w:rPr>
              <w:t>6.0</w:t>
            </w:r>
          </w:p>
        </w:tc>
        <w:tc>
          <w:tcPr>
            <w:tcW w:w="9922" w:type="dxa"/>
            <w:tcBorders>
              <w:bottom w:val="nil"/>
            </w:tcBorders>
          </w:tcPr>
          <w:p w14:paraId="4D71CF87" w14:textId="77777777" w:rsidR="00AE1E07" w:rsidRPr="00E0185B" w:rsidRDefault="00AE1E07" w:rsidP="0028025C">
            <w:pPr>
              <w:rPr>
                <w:rFonts w:cs="Arial"/>
                <w:b/>
                <w:bCs/>
                <w:sz w:val="24"/>
                <w:szCs w:val="24"/>
              </w:rPr>
            </w:pPr>
            <w:r w:rsidRPr="00E0185B">
              <w:rPr>
                <w:rFonts w:cs="Arial"/>
                <w:b/>
                <w:bCs/>
                <w:sz w:val="24"/>
                <w:szCs w:val="24"/>
              </w:rPr>
              <w:t>Risk Management</w:t>
            </w:r>
          </w:p>
        </w:tc>
      </w:tr>
      <w:tr w:rsidR="00D37F52" w:rsidRPr="00D37F52" w14:paraId="1C022768" w14:textId="77777777" w:rsidTr="00E72676">
        <w:tc>
          <w:tcPr>
            <w:tcW w:w="988" w:type="dxa"/>
            <w:tcBorders>
              <w:top w:val="nil"/>
              <w:bottom w:val="single" w:sz="4" w:space="0" w:color="auto"/>
            </w:tcBorders>
          </w:tcPr>
          <w:p w14:paraId="23CF80FC" w14:textId="77777777" w:rsidR="00AE1E07" w:rsidRPr="00E0185B" w:rsidRDefault="00AE1E07" w:rsidP="0028025C">
            <w:pPr>
              <w:rPr>
                <w:rFonts w:cs="Arial"/>
                <w:bCs/>
                <w:sz w:val="24"/>
                <w:szCs w:val="24"/>
              </w:rPr>
            </w:pPr>
          </w:p>
        </w:tc>
        <w:tc>
          <w:tcPr>
            <w:tcW w:w="9922" w:type="dxa"/>
            <w:tcBorders>
              <w:top w:val="nil"/>
              <w:bottom w:val="single" w:sz="4" w:space="0" w:color="auto"/>
            </w:tcBorders>
          </w:tcPr>
          <w:p w14:paraId="6A93FC91" w14:textId="77777777" w:rsidR="00AE1E07" w:rsidRPr="00E0185B" w:rsidRDefault="00AE1E07" w:rsidP="0028025C">
            <w:pPr>
              <w:rPr>
                <w:rFonts w:cs="Arial"/>
                <w:bCs/>
                <w:sz w:val="24"/>
                <w:szCs w:val="24"/>
              </w:rPr>
            </w:pPr>
          </w:p>
          <w:p w14:paraId="67148DEC" w14:textId="77777777" w:rsidR="00E0185B" w:rsidRPr="00E0185B" w:rsidRDefault="00AE1E07" w:rsidP="0028025C">
            <w:pPr>
              <w:rPr>
                <w:rFonts w:cs="Arial"/>
                <w:bCs/>
                <w:sz w:val="24"/>
                <w:szCs w:val="24"/>
              </w:rPr>
            </w:pPr>
            <w:r w:rsidRPr="00E0185B">
              <w:rPr>
                <w:rFonts w:cs="Arial"/>
                <w:bCs/>
                <w:sz w:val="24"/>
                <w:szCs w:val="24"/>
              </w:rPr>
              <w:t xml:space="preserve">The proposed </w:t>
            </w:r>
            <w:r w:rsidR="00BF4C75" w:rsidRPr="00E0185B">
              <w:rPr>
                <w:rFonts w:cs="Arial"/>
                <w:bCs/>
                <w:sz w:val="24"/>
                <w:szCs w:val="24"/>
              </w:rPr>
              <w:t>ICB</w:t>
            </w:r>
            <w:r w:rsidRPr="00E0185B">
              <w:rPr>
                <w:rFonts w:cs="Arial"/>
                <w:bCs/>
                <w:sz w:val="24"/>
                <w:szCs w:val="24"/>
              </w:rPr>
              <w:t xml:space="preserve"> and System budget for </w:t>
            </w:r>
            <w:r w:rsidR="00E0185B" w:rsidRPr="00E0185B">
              <w:rPr>
                <w:rFonts w:cs="Arial"/>
                <w:bCs/>
                <w:sz w:val="24"/>
                <w:szCs w:val="24"/>
              </w:rPr>
              <w:t>2023/24</w:t>
            </w:r>
            <w:r w:rsidRPr="00E0185B">
              <w:rPr>
                <w:rFonts w:cs="Arial"/>
                <w:bCs/>
                <w:sz w:val="24"/>
                <w:szCs w:val="24"/>
              </w:rPr>
              <w:t xml:space="preserve"> is a </w:t>
            </w:r>
            <w:r w:rsidR="00E0185B" w:rsidRPr="00E0185B">
              <w:rPr>
                <w:rFonts w:cs="Arial"/>
                <w:bCs/>
                <w:sz w:val="24"/>
                <w:szCs w:val="24"/>
              </w:rPr>
              <w:t>breakeven financial position, however, this includes significant risk for all organisations:</w:t>
            </w:r>
          </w:p>
          <w:p w14:paraId="4A4D2948" w14:textId="4D23F5BB" w:rsidR="00AE1E07" w:rsidRPr="00E0185B" w:rsidRDefault="00E0185B" w:rsidP="00E0185B">
            <w:pPr>
              <w:pStyle w:val="ListParagraph"/>
              <w:numPr>
                <w:ilvl w:val="0"/>
                <w:numId w:val="26"/>
              </w:numPr>
              <w:rPr>
                <w:rFonts w:cs="Arial"/>
                <w:bCs/>
                <w:sz w:val="24"/>
                <w:szCs w:val="24"/>
              </w:rPr>
            </w:pPr>
            <w:r w:rsidRPr="00E0185B">
              <w:rPr>
                <w:rFonts w:cs="Arial"/>
                <w:bCs/>
                <w:sz w:val="24"/>
                <w:szCs w:val="24"/>
              </w:rPr>
              <w:t xml:space="preserve">High levels of savings to be delivered </w:t>
            </w:r>
          </w:p>
          <w:p w14:paraId="7796E68A" w14:textId="05BB08C2" w:rsidR="00E0185B" w:rsidRPr="00E0185B" w:rsidRDefault="00E0185B" w:rsidP="00E0185B">
            <w:pPr>
              <w:pStyle w:val="ListParagraph"/>
              <w:numPr>
                <w:ilvl w:val="0"/>
                <w:numId w:val="26"/>
              </w:numPr>
              <w:rPr>
                <w:rFonts w:cs="Arial"/>
                <w:bCs/>
                <w:sz w:val="24"/>
                <w:szCs w:val="24"/>
              </w:rPr>
            </w:pPr>
            <w:r w:rsidRPr="00E0185B">
              <w:rPr>
                <w:rFonts w:cs="Arial"/>
                <w:bCs/>
                <w:sz w:val="24"/>
                <w:szCs w:val="24"/>
              </w:rPr>
              <w:t xml:space="preserve">Inflation risk, particularly, energy, food, care market, prescribing </w:t>
            </w:r>
          </w:p>
          <w:p w14:paraId="1F5A5F6D" w14:textId="610E5559" w:rsidR="00E0185B" w:rsidRPr="00E0185B" w:rsidRDefault="00E0185B" w:rsidP="00E0185B">
            <w:pPr>
              <w:pStyle w:val="ListParagraph"/>
              <w:numPr>
                <w:ilvl w:val="0"/>
                <w:numId w:val="26"/>
              </w:numPr>
              <w:rPr>
                <w:rFonts w:cs="Arial"/>
                <w:bCs/>
                <w:sz w:val="24"/>
                <w:szCs w:val="24"/>
              </w:rPr>
            </w:pPr>
            <w:r w:rsidRPr="00E0185B">
              <w:rPr>
                <w:rFonts w:cs="Arial"/>
                <w:bCs/>
                <w:sz w:val="24"/>
                <w:szCs w:val="24"/>
              </w:rPr>
              <w:t xml:space="preserve">Risk of </w:t>
            </w:r>
            <w:proofErr w:type="spellStart"/>
            <w:r w:rsidRPr="00E0185B">
              <w:rPr>
                <w:rFonts w:cs="Arial"/>
                <w:bCs/>
                <w:sz w:val="24"/>
                <w:szCs w:val="24"/>
              </w:rPr>
              <w:t>non delivery</w:t>
            </w:r>
            <w:proofErr w:type="spellEnd"/>
            <w:r w:rsidRPr="00E0185B">
              <w:rPr>
                <w:rFonts w:cs="Arial"/>
                <w:bCs/>
                <w:sz w:val="24"/>
                <w:szCs w:val="24"/>
              </w:rPr>
              <w:t xml:space="preserve"> of the elective recovery leading to reduced income to the system but an inability to remove costs </w:t>
            </w:r>
          </w:p>
          <w:p w14:paraId="39EFD4B8" w14:textId="77777777" w:rsidR="00E0185B" w:rsidRPr="00E0185B" w:rsidRDefault="00E0185B" w:rsidP="00E0185B">
            <w:pPr>
              <w:pStyle w:val="ListParagraph"/>
              <w:numPr>
                <w:ilvl w:val="0"/>
                <w:numId w:val="26"/>
              </w:numPr>
              <w:rPr>
                <w:rFonts w:cs="Arial"/>
                <w:bCs/>
                <w:sz w:val="24"/>
                <w:szCs w:val="24"/>
              </w:rPr>
            </w:pPr>
            <w:r w:rsidRPr="00E0185B">
              <w:rPr>
                <w:rFonts w:cs="Arial"/>
                <w:bCs/>
                <w:sz w:val="24"/>
                <w:szCs w:val="24"/>
              </w:rPr>
              <w:t>The assumption that demand can be managed within the current financial budgets</w:t>
            </w:r>
          </w:p>
          <w:p w14:paraId="7DED2852" w14:textId="734BB1C5" w:rsidR="00E0185B" w:rsidRPr="00E0185B" w:rsidRDefault="00E0185B" w:rsidP="00E0185B">
            <w:pPr>
              <w:pStyle w:val="ListParagraph"/>
              <w:ind w:left="791"/>
              <w:rPr>
                <w:rFonts w:cs="Arial"/>
                <w:bCs/>
                <w:sz w:val="24"/>
                <w:szCs w:val="24"/>
              </w:rPr>
            </w:pPr>
            <w:r w:rsidRPr="00E0185B">
              <w:rPr>
                <w:rFonts w:cs="Arial"/>
                <w:bCs/>
                <w:sz w:val="24"/>
                <w:szCs w:val="24"/>
              </w:rPr>
              <w:t xml:space="preserve"> </w:t>
            </w:r>
          </w:p>
          <w:p w14:paraId="09C2A5E8" w14:textId="77777777" w:rsidR="00AE1E07" w:rsidRPr="00E0185B" w:rsidRDefault="00AE1E07" w:rsidP="0028025C">
            <w:pPr>
              <w:rPr>
                <w:rFonts w:cs="Arial"/>
                <w:bCs/>
                <w:sz w:val="24"/>
                <w:szCs w:val="24"/>
              </w:rPr>
            </w:pPr>
            <w:r w:rsidRPr="00E0185B">
              <w:rPr>
                <w:rFonts w:cs="Arial"/>
                <w:bCs/>
                <w:sz w:val="24"/>
                <w:szCs w:val="24"/>
              </w:rPr>
              <w:t>In year risk management measures will include</w:t>
            </w:r>
          </w:p>
          <w:p w14:paraId="4A62FD2A" w14:textId="254A0F3D" w:rsidR="00E0185B" w:rsidRDefault="00E0185B" w:rsidP="00AE1E07">
            <w:pPr>
              <w:pStyle w:val="ListParagraph"/>
              <w:numPr>
                <w:ilvl w:val="0"/>
                <w:numId w:val="17"/>
              </w:numPr>
              <w:spacing w:line="240" w:lineRule="auto"/>
              <w:contextualSpacing w:val="0"/>
              <w:rPr>
                <w:rFonts w:cs="Arial"/>
                <w:bCs/>
                <w:sz w:val="24"/>
                <w:szCs w:val="24"/>
              </w:rPr>
            </w:pPr>
            <w:r>
              <w:rPr>
                <w:rFonts w:cs="Arial"/>
                <w:bCs/>
                <w:sz w:val="24"/>
                <w:szCs w:val="24"/>
              </w:rPr>
              <w:t xml:space="preserve">System review of all bids for both revenue and capital in year to ensure that </w:t>
            </w:r>
            <w:proofErr w:type="gramStart"/>
            <w:r>
              <w:rPr>
                <w:rFonts w:cs="Arial"/>
                <w:bCs/>
                <w:sz w:val="24"/>
                <w:szCs w:val="24"/>
              </w:rPr>
              <w:t>no any</w:t>
            </w:r>
            <w:proofErr w:type="gramEnd"/>
            <w:r>
              <w:rPr>
                <w:rFonts w:cs="Arial"/>
                <w:bCs/>
                <w:sz w:val="24"/>
                <w:szCs w:val="24"/>
              </w:rPr>
              <w:t xml:space="preserve"> decisions impacting on the overall recurrent cost base for the system are taken without full sign off</w:t>
            </w:r>
          </w:p>
          <w:p w14:paraId="0B6364A4" w14:textId="56DACE01" w:rsidR="00AE1E07" w:rsidRPr="00E0185B" w:rsidRDefault="00E0185B" w:rsidP="00AE1E07">
            <w:pPr>
              <w:pStyle w:val="ListParagraph"/>
              <w:numPr>
                <w:ilvl w:val="0"/>
                <w:numId w:val="17"/>
              </w:numPr>
              <w:spacing w:line="240" w:lineRule="auto"/>
              <w:contextualSpacing w:val="0"/>
              <w:rPr>
                <w:rFonts w:cs="Arial"/>
                <w:bCs/>
                <w:sz w:val="24"/>
                <w:szCs w:val="24"/>
              </w:rPr>
            </w:pPr>
            <w:r>
              <w:rPr>
                <w:rFonts w:cs="Arial"/>
                <w:bCs/>
                <w:sz w:val="24"/>
                <w:szCs w:val="24"/>
              </w:rPr>
              <w:t>U</w:t>
            </w:r>
            <w:r w:rsidR="00AE1E07" w:rsidRPr="00E0185B">
              <w:rPr>
                <w:rFonts w:cs="Arial"/>
                <w:bCs/>
                <w:sz w:val="24"/>
                <w:szCs w:val="24"/>
              </w:rPr>
              <w:t>se of additional allocations in year</w:t>
            </w:r>
          </w:p>
          <w:p w14:paraId="7F189342" w14:textId="176258B8" w:rsidR="00AE1E07" w:rsidRDefault="00E0185B" w:rsidP="00AE1E07">
            <w:pPr>
              <w:pStyle w:val="ListParagraph"/>
              <w:numPr>
                <w:ilvl w:val="0"/>
                <w:numId w:val="17"/>
              </w:numPr>
              <w:spacing w:line="240" w:lineRule="auto"/>
              <w:contextualSpacing w:val="0"/>
              <w:rPr>
                <w:rFonts w:cs="Arial"/>
                <w:bCs/>
                <w:sz w:val="24"/>
                <w:szCs w:val="24"/>
              </w:rPr>
            </w:pPr>
            <w:r>
              <w:rPr>
                <w:rFonts w:cs="Arial"/>
                <w:bCs/>
                <w:sz w:val="24"/>
                <w:szCs w:val="24"/>
              </w:rPr>
              <w:t>T</w:t>
            </w:r>
            <w:r w:rsidR="00AE1E07" w:rsidRPr="00E0185B">
              <w:rPr>
                <w:rFonts w:cs="Arial"/>
                <w:bCs/>
                <w:sz w:val="24"/>
                <w:szCs w:val="24"/>
              </w:rPr>
              <w:t xml:space="preserve">he use of </w:t>
            </w:r>
            <w:proofErr w:type="spellStart"/>
            <w:r w:rsidR="00AE1E07" w:rsidRPr="00E0185B">
              <w:rPr>
                <w:rFonts w:cs="Arial"/>
                <w:bCs/>
                <w:sz w:val="24"/>
                <w:szCs w:val="24"/>
              </w:rPr>
              <w:t>non recurrent</w:t>
            </w:r>
            <w:proofErr w:type="spellEnd"/>
            <w:r w:rsidR="00AE1E07" w:rsidRPr="00E0185B">
              <w:rPr>
                <w:rFonts w:cs="Arial"/>
                <w:bCs/>
                <w:sz w:val="24"/>
                <w:szCs w:val="24"/>
              </w:rPr>
              <w:t xml:space="preserve"> slippage in year</w:t>
            </w:r>
          </w:p>
          <w:p w14:paraId="32F2388D" w14:textId="5F003707" w:rsidR="00E0185B" w:rsidRPr="00E0185B" w:rsidRDefault="00E0185B" w:rsidP="00AE1E07">
            <w:pPr>
              <w:pStyle w:val="ListParagraph"/>
              <w:numPr>
                <w:ilvl w:val="0"/>
                <w:numId w:val="17"/>
              </w:numPr>
              <w:spacing w:line="240" w:lineRule="auto"/>
              <w:contextualSpacing w:val="0"/>
              <w:rPr>
                <w:rFonts w:cs="Arial"/>
                <w:bCs/>
                <w:sz w:val="24"/>
                <w:szCs w:val="24"/>
              </w:rPr>
            </w:pPr>
            <w:r>
              <w:rPr>
                <w:rFonts w:cs="Arial"/>
                <w:bCs/>
                <w:sz w:val="24"/>
                <w:szCs w:val="24"/>
              </w:rPr>
              <w:t xml:space="preserve">Ongoing development of </w:t>
            </w:r>
            <w:r w:rsidR="000455BE">
              <w:rPr>
                <w:rFonts w:cs="Arial"/>
                <w:bCs/>
                <w:sz w:val="24"/>
                <w:szCs w:val="24"/>
              </w:rPr>
              <w:t>recurrent savings plans</w:t>
            </w:r>
          </w:p>
          <w:p w14:paraId="6CD64735" w14:textId="5477EA3F" w:rsidR="00AE1E07" w:rsidRPr="00E0185B" w:rsidRDefault="00E0185B" w:rsidP="00AE1E07">
            <w:pPr>
              <w:pStyle w:val="ListParagraph"/>
              <w:numPr>
                <w:ilvl w:val="0"/>
                <w:numId w:val="17"/>
              </w:numPr>
              <w:spacing w:line="240" w:lineRule="auto"/>
              <w:contextualSpacing w:val="0"/>
              <w:rPr>
                <w:rFonts w:cs="Arial"/>
                <w:bCs/>
                <w:sz w:val="24"/>
                <w:szCs w:val="24"/>
              </w:rPr>
            </w:pPr>
            <w:r>
              <w:rPr>
                <w:rFonts w:cs="Arial"/>
                <w:bCs/>
                <w:sz w:val="24"/>
                <w:szCs w:val="24"/>
              </w:rPr>
              <w:t>O</w:t>
            </w:r>
            <w:r w:rsidR="00AE1E07" w:rsidRPr="00E0185B">
              <w:rPr>
                <w:rFonts w:cs="Arial"/>
                <w:bCs/>
                <w:sz w:val="24"/>
                <w:szCs w:val="24"/>
              </w:rPr>
              <w:t>ther non-recurrent measures to be determined</w:t>
            </w:r>
          </w:p>
          <w:p w14:paraId="73769C62" w14:textId="77777777" w:rsidR="00AE1E07" w:rsidRPr="00E0185B" w:rsidRDefault="00AE1E07" w:rsidP="0028025C">
            <w:pPr>
              <w:rPr>
                <w:rFonts w:cs="Arial"/>
                <w:bCs/>
                <w:sz w:val="24"/>
                <w:szCs w:val="24"/>
              </w:rPr>
            </w:pPr>
          </w:p>
          <w:p w14:paraId="285A5D9B" w14:textId="432C7330" w:rsidR="00AE1E07" w:rsidRPr="00E0185B" w:rsidRDefault="00AE1E07" w:rsidP="0028025C">
            <w:pPr>
              <w:rPr>
                <w:rFonts w:cs="Arial"/>
                <w:bCs/>
                <w:sz w:val="24"/>
                <w:szCs w:val="24"/>
              </w:rPr>
            </w:pPr>
            <w:r w:rsidRPr="00E0185B">
              <w:rPr>
                <w:rFonts w:cs="Arial"/>
                <w:bCs/>
                <w:sz w:val="24"/>
                <w:szCs w:val="24"/>
              </w:rPr>
              <w:t xml:space="preserve">Key risks and mitigating actions are shown in Appendix 4.  In addition to this.  In order to manage in year financial </w:t>
            </w:r>
            <w:proofErr w:type="gramStart"/>
            <w:r w:rsidRPr="00E0185B">
              <w:rPr>
                <w:rFonts w:cs="Arial"/>
                <w:bCs/>
                <w:sz w:val="24"/>
                <w:szCs w:val="24"/>
              </w:rPr>
              <w:t>risks</w:t>
            </w:r>
            <w:proofErr w:type="gramEnd"/>
            <w:r w:rsidRPr="00E0185B">
              <w:rPr>
                <w:rFonts w:cs="Arial"/>
                <w:bCs/>
                <w:sz w:val="24"/>
                <w:szCs w:val="24"/>
              </w:rPr>
              <w:t xml:space="preserve"> the following actions were agreed </w:t>
            </w:r>
            <w:r w:rsidR="000455BE">
              <w:rPr>
                <w:rFonts w:cs="Arial"/>
                <w:bCs/>
                <w:sz w:val="24"/>
                <w:szCs w:val="24"/>
              </w:rPr>
              <w:t>previously by Boards including the CCG Governing Body and remain in place</w:t>
            </w:r>
            <w:r w:rsidRPr="00E0185B">
              <w:rPr>
                <w:rFonts w:cs="Arial"/>
                <w:bCs/>
                <w:sz w:val="24"/>
                <w:szCs w:val="24"/>
              </w:rPr>
              <w:t>:</w:t>
            </w:r>
          </w:p>
          <w:p w14:paraId="2DC5BC7B" w14:textId="77777777" w:rsidR="00AE1E07" w:rsidRPr="00E0185B" w:rsidRDefault="00AE1E07" w:rsidP="0028025C">
            <w:pPr>
              <w:rPr>
                <w:rFonts w:cs="Arial"/>
                <w:bCs/>
                <w:sz w:val="24"/>
                <w:szCs w:val="24"/>
              </w:rPr>
            </w:pPr>
          </w:p>
          <w:p w14:paraId="15DC84DE" w14:textId="77777777" w:rsidR="00AE1E07" w:rsidRPr="00E0185B" w:rsidRDefault="00AE1E07" w:rsidP="00AE1E07">
            <w:pPr>
              <w:pStyle w:val="ListParagraph"/>
              <w:numPr>
                <w:ilvl w:val="0"/>
                <w:numId w:val="17"/>
              </w:numPr>
              <w:spacing w:line="240" w:lineRule="auto"/>
              <w:contextualSpacing w:val="0"/>
              <w:rPr>
                <w:rFonts w:cs="Arial"/>
                <w:bCs/>
                <w:sz w:val="24"/>
                <w:szCs w:val="24"/>
              </w:rPr>
            </w:pPr>
            <w:r w:rsidRPr="00E0185B">
              <w:rPr>
                <w:rFonts w:cs="Arial"/>
                <w:bCs/>
                <w:sz w:val="24"/>
                <w:szCs w:val="24"/>
              </w:rPr>
              <w:t>Developments funded which are not unavoidably committed will be retained within reserves.  Release of developments will be subject to a business case sign off. Non recurrent slippage will be retained to support the overall system financial position</w:t>
            </w:r>
          </w:p>
          <w:p w14:paraId="47E1E561" w14:textId="77777777" w:rsidR="00AE1E07" w:rsidRPr="00E0185B" w:rsidRDefault="00AE1E07" w:rsidP="0028025C">
            <w:pPr>
              <w:pStyle w:val="ListParagraph"/>
              <w:ind w:left="502"/>
              <w:rPr>
                <w:rFonts w:cs="Arial"/>
                <w:bCs/>
                <w:sz w:val="24"/>
                <w:szCs w:val="24"/>
              </w:rPr>
            </w:pPr>
          </w:p>
          <w:p w14:paraId="4029A4F0" w14:textId="77777777" w:rsidR="00AE1E07" w:rsidRPr="00E0185B" w:rsidRDefault="00AE1E07" w:rsidP="00AE1E07">
            <w:pPr>
              <w:pStyle w:val="ListParagraph"/>
              <w:numPr>
                <w:ilvl w:val="0"/>
                <w:numId w:val="17"/>
              </w:numPr>
              <w:spacing w:line="240" w:lineRule="auto"/>
              <w:contextualSpacing w:val="0"/>
              <w:rPr>
                <w:rFonts w:cs="Arial"/>
                <w:bCs/>
                <w:sz w:val="24"/>
                <w:szCs w:val="24"/>
              </w:rPr>
            </w:pPr>
            <w:r w:rsidRPr="00E0185B">
              <w:rPr>
                <w:rFonts w:cs="Arial"/>
                <w:bCs/>
                <w:sz w:val="24"/>
                <w:szCs w:val="24"/>
              </w:rPr>
              <w:t>All additional allocations/successful bids will be reviewed by Executive teams in advance of any commitment to test whether a contribution to the financial position can be identified.</w:t>
            </w:r>
          </w:p>
          <w:p w14:paraId="18A957D8" w14:textId="77777777" w:rsidR="00AE1E07" w:rsidRPr="00E0185B" w:rsidRDefault="00AE1E07" w:rsidP="0028025C">
            <w:pPr>
              <w:pStyle w:val="ListParagraph"/>
              <w:ind w:left="420"/>
              <w:rPr>
                <w:rFonts w:cs="Arial"/>
                <w:bCs/>
                <w:sz w:val="24"/>
                <w:szCs w:val="24"/>
              </w:rPr>
            </w:pPr>
          </w:p>
          <w:p w14:paraId="339BA5FA" w14:textId="77777777" w:rsidR="00AE1E07" w:rsidRPr="00E0185B" w:rsidRDefault="00AE1E07" w:rsidP="00AE1E07">
            <w:pPr>
              <w:pStyle w:val="ListParagraph"/>
              <w:numPr>
                <w:ilvl w:val="0"/>
                <w:numId w:val="17"/>
              </w:numPr>
              <w:spacing w:line="240" w:lineRule="auto"/>
              <w:contextualSpacing w:val="0"/>
              <w:rPr>
                <w:rFonts w:cs="Arial"/>
                <w:bCs/>
                <w:sz w:val="24"/>
                <w:szCs w:val="24"/>
              </w:rPr>
            </w:pPr>
            <w:r w:rsidRPr="00E0185B">
              <w:rPr>
                <w:rFonts w:cs="Arial"/>
                <w:bCs/>
                <w:sz w:val="24"/>
                <w:szCs w:val="24"/>
              </w:rPr>
              <w:t>No controllable expenditure will be committed if there is no identified funding source unless the risk of not proceeding is deemed to be too significant.</w:t>
            </w:r>
          </w:p>
          <w:p w14:paraId="753B3D9C" w14:textId="77777777" w:rsidR="00AE1E07" w:rsidRPr="00E0185B" w:rsidRDefault="00AE1E07" w:rsidP="0028025C">
            <w:pPr>
              <w:pStyle w:val="ListParagraph"/>
              <w:ind w:left="420"/>
              <w:rPr>
                <w:rFonts w:cs="Arial"/>
                <w:bCs/>
                <w:sz w:val="24"/>
                <w:szCs w:val="24"/>
              </w:rPr>
            </w:pPr>
          </w:p>
          <w:p w14:paraId="7CB7890C" w14:textId="77777777" w:rsidR="00AE1E07" w:rsidRPr="00E0185B" w:rsidRDefault="00AE1E07" w:rsidP="00AE1E07">
            <w:pPr>
              <w:pStyle w:val="ListParagraph"/>
              <w:numPr>
                <w:ilvl w:val="0"/>
                <w:numId w:val="17"/>
              </w:numPr>
              <w:spacing w:line="240" w:lineRule="auto"/>
              <w:contextualSpacing w:val="0"/>
              <w:rPr>
                <w:rFonts w:cs="Arial"/>
                <w:bCs/>
                <w:sz w:val="24"/>
                <w:szCs w:val="24"/>
              </w:rPr>
            </w:pPr>
            <w:r w:rsidRPr="00E0185B">
              <w:rPr>
                <w:rFonts w:cs="Arial"/>
                <w:bCs/>
                <w:sz w:val="24"/>
                <w:szCs w:val="24"/>
              </w:rPr>
              <w:t xml:space="preserve">Underspends will be removed from budgets periodically throughout the year on a recurrent or non-recurrent basis, depending on the situation, in year following discussion with the relevant Director.   </w:t>
            </w:r>
          </w:p>
          <w:p w14:paraId="28118979" w14:textId="77777777" w:rsidR="00AE1E07" w:rsidRPr="00E0185B" w:rsidRDefault="00AE1E07" w:rsidP="0028025C">
            <w:pPr>
              <w:pStyle w:val="ListParagraph"/>
              <w:ind w:left="420"/>
              <w:rPr>
                <w:rFonts w:cs="Arial"/>
                <w:bCs/>
                <w:sz w:val="24"/>
                <w:szCs w:val="24"/>
              </w:rPr>
            </w:pPr>
          </w:p>
          <w:p w14:paraId="43D3A107" w14:textId="2DC5F780" w:rsidR="00AE1E07" w:rsidRPr="00E0185B" w:rsidRDefault="00AE1E07" w:rsidP="00AE1E07">
            <w:pPr>
              <w:pStyle w:val="ListParagraph"/>
              <w:numPr>
                <w:ilvl w:val="0"/>
                <w:numId w:val="17"/>
              </w:numPr>
              <w:spacing w:line="240" w:lineRule="auto"/>
              <w:contextualSpacing w:val="0"/>
              <w:rPr>
                <w:rFonts w:cs="Arial"/>
                <w:bCs/>
                <w:sz w:val="24"/>
                <w:szCs w:val="24"/>
              </w:rPr>
            </w:pPr>
            <w:r w:rsidRPr="00E0185B">
              <w:rPr>
                <w:rFonts w:cs="Arial"/>
                <w:bCs/>
                <w:sz w:val="24"/>
                <w:szCs w:val="24"/>
              </w:rPr>
              <w:t xml:space="preserve">The first call on any budgets released whether recurrently or </w:t>
            </w:r>
            <w:proofErr w:type="spellStart"/>
            <w:r w:rsidRPr="00E0185B">
              <w:rPr>
                <w:rFonts w:cs="Arial"/>
                <w:bCs/>
                <w:sz w:val="24"/>
                <w:szCs w:val="24"/>
              </w:rPr>
              <w:t>non recurrently</w:t>
            </w:r>
            <w:proofErr w:type="spellEnd"/>
            <w:r w:rsidRPr="00E0185B">
              <w:rPr>
                <w:rFonts w:cs="Arial"/>
                <w:bCs/>
                <w:sz w:val="24"/>
                <w:szCs w:val="24"/>
              </w:rPr>
              <w:t xml:space="preserve"> will be to </w:t>
            </w:r>
            <w:r w:rsidR="000455BE">
              <w:rPr>
                <w:rFonts w:cs="Arial"/>
                <w:bCs/>
                <w:sz w:val="24"/>
                <w:szCs w:val="24"/>
              </w:rPr>
              <w:t>support the overall management of the System financial position</w:t>
            </w:r>
          </w:p>
          <w:p w14:paraId="28D55A9E" w14:textId="77777777" w:rsidR="00AE1E07" w:rsidRPr="00E0185B" w:rsidRDefault="00AE1E07" w:rsidP="0028025C">
            <w:pPr>
              <w:rPr>
                <w:rFonts w:cs="Arial"/>
                <w:bCs/>
                <w:sz w:val="24"/>
                <w:szCs w:val="24"/>
              </w:rPr>
            </w:pPr>
          </w:p>
        </w:tc>
      </w:tr>
      <w:tr w:rsidR="001078F6" w:rsidRPr="00D37F52" w14:paraId="7092B45D" w14:textId="77777777" w:rsidTr="00E72676">
        <w:tc>
          <w:tcPr>
            <w:tcW w:w="988" w:type="dxa"/>
            <w:tcBorders>
              <w:bottom w:val="nil"/>
            </w:tcBorders>
          </w:tcPr>
          <w:p w14:paraId="64EA37DA" w14:textId="0EBFAA41" w:rsidR="001078F6" w:rsidRPr="000455BE" w:rsidRDefault="001078F6" w:rsidP="0028025C">
            <w:pPr>
              <w:rPr>
                <w:rFonts w:cs="Arial"/>
                <w:b/>
                <w:bCs/>
                <w:sz w:val="24"/>
                <w:szCs w:val="24"/>
              </w:rPr>
            </w:pPr>
            <w:r>
              <w:rPr>
                <w:rFonts w:cs="Arial"/>
                <w:b/>
                <w:bCs/>
                <w:sz w:val="24"/>
                <w:szCs w:val="24"/>
              </w:rPr>
              <w:t>7.0</w:t>
            </w:r>
          </w:p>
        </w:tc>
        <w:tc>
          <w:tcPr>
            <w:tcW w:w="9922" w:type="dxa"/>
            <w:tcBorders>
              <w:bottom w:val="nil"/>
            </w:tcBorders>
          </w:tcPr>
          <w:p w14:paraId="49E4479C" w14:textId="77777777" w:rsidR="001078F6" w:rsidRDefault="001078F6" w:rsidP="0028025C">
            <w:pPr>
              <w:rPr>
                <w:rFonts w:cs="Arial"/>
                <w:b/>
                <w:sz w:val="24"/>
                <w:szCs w:val="24"/>
              </w:rPr>
            </w:pPr>
            <w:r>
              <w:rPr>
                <w:rFonts w:cs="Arial"/>
                <w:b/>
                <w:sz w:val="24"/>
                <w:szCs w:val="24"/>
              </w:rPr>
              <w:t xml:space="preserve">Capital </w:t>
            </w:r>
          </w:p>
          <w:p w14:paraId="5E021EF5" w14:textId="77777777" w:rsidR="00CE1F7D" w:rsidRDefault="00CE1F7D" w:rsidP="0028025C">
            <w:pPr>
              <w:rPr>
                <w:rFonts w:cs="Arial"/>
                <w:b/>
                <w:sz w:val="24"/>
                <w:szCs w:val="24"/>
              </w:rPr>
            </w:pPr>
          </w:p>
          <w:p w14:paraId="147DC864" w14:textId="56EA4943" w:rsidR="00CE1F7D" w:rsidRDefault="00CE1F7D" w:rsidP="0028025C">
            <w:pPr>
              <w:rPr>
                <w:rFonts w:cs="Arial"/>
                <w:bCs/>
                <w:sz w:val="24"/>
                <w:szCs w:val="24"/>
              </w:rPr>
            </w:pPr>
            <w:r w:rsidRPr="00CE1F7D">
              <w:rPr>
                <w:rFonts w:cs="Arial"/>
                <w:bCs/>
                <w:sz w:val="24"/>
                <w:szCs w:val="24"/>
              </w:rPr>
              <w:t>The proposed capital budget for the System</w:t>
            </w:r>
            <w:r>
              <w:rPr>
                <w:rFonts w:cs="Arial"/>
                <w:bCs/>
                <w:sz w:val="24"/>
                <w:szCs w:val="24"/>
              </w:rPr>
              <w:t xml:space="preserve"> is shown at </w:t>
            </w:r>
            <w:r w:rsidRPr="00336B1B">
              <w:rPr>
                <w:rFonts w:cs="Arial"/>
                <w:bCs/>
                <w:sz w:val="24"/>
                <w:szCs w:val="24"/>
              </w:rPr>
              <w:t xml:space="preserve">appendix </w:t>
            </w:r>
            <w:r w:rsidR="00336B1B" w:rsidRPr="00336B1B">
              <w:rPr>
                <w:rFonts w:cs="Arial"/>
                <w:bCs/>
                <w:sz w:val="24"/>
                <w:szCs w:val="24"/>
              </w:rPr>
              <w:t>5</w:t>
            </w:r>
            <w:r w:rsidRPr="00CE1F7D">
              <w:rPr>
                <w:rFonts w:cs="Arial"/>
                <w:bCs/>
                <w:color w:val="FF0000"/>
                <w:sz w:val="24"/>
                <w:szCs w:val="24"/>
              </w:rPr>
              <w:t>.</w:t>
            </w:r>
          </w:p>
          <w:p w14:paraId="01078A21" w14:textId="11BC90B0" w:rsidR="00CE1F7D" w:rsidRDefault="00CE1F7D" w:rsidP="0028025C">
            <w:pPr>
              <w:rPr>
                <w:rFonts w:cs="Arial"/>
                <w:bCs/>
                <w:sz w:val="24"/>
                <w:szCs w:val="24"/>
              </w:rPr>
            </w:pPr>
            <w:r>
              <w:rPr>
                <w:rFonts w:cs="Arial"/>
                <w:bCs/>
                <w:sz w:val="24"/>
                <w:szCs w:val="24"/>
              </w:rPr>
              <w:t xml:space="preserve">System Capital Allocations total £34.5m as a baseline plus an additional £3.1m as the System has achieved a breakeven financial position in 2022/23, total £37.6m.  In addition, there are </w:t>
            </w:r>
            <w:proofErr w:type="gramStart"/>
            <w:r>
              <w:rPr>
                <w:rFonts w:cs="Arial"/>
                <w:bCs/>
                <w:sz w:val="24"/>
                <w:szCs w:val="24"/>
              </w:rPr>
              <w:t>a number of</w:t>
            </w:r>
            <w:proofErr w:type="gramEnd"/>
            <w:r>
              <w:rPr>
                <w:rFonts w:cs="Arial"/>
                <w:bCs/>
                <w:sz w:val="24"/>
                <w:szCs w:val="24"/>
              </w:rPr>
              <w:t xml:space="preserve"> other funding sources such as asset disposals and separate, specific allocations.  Spend against these additional funding sources will be incurred once the funding for schemes is secure. </w:t>
            </w:r>
          </w:p>
          <w:p w14:paraId="4CB36E92" w14:textId="77777777" w:rsidR="00CE1F7D" w:rsidRDefault="00CE1F7D" w:rsidP="0028025C">
            <w:pPr>
              <w:rPr>
                <w:rFonts w:cs="Arial"/>
                <w:bCs/>
                <w:sz w:val="24"/>
                <w:szCs w:val="24"/>
              </w:rPr>
            </w:pPr>
          </w:p>
          <w:p w14:paraId="2E9A1C42" w14:textId="77777777" w:rsidR="00CE1F7D" w:rsidRDefault="00CE1F7D" w:rsidP="0028025C">
            <w:pPr>
              <w:rPr>
                <w:rFonts w:cs="Arial"/>
                <w:bCs/>
                <w:sz w:val="24"/>
                <w:szCs w:val="24"/>
              </w:rPr>
            </w:pPr>
            <w:r>
              <w:rPr>
                <w:rFonts w:cs="Arial"/>
                <w:bCs/>
                <w:sz w:val="24"/>
                <w:szCs w:val="24"/>
              </w:rPr>
              <w:t xml:space="preserve">Each organisation has prioritised its capital schemes, </w:t>
            </w:r>
            <w:proofErr w:type="gramStart"/>
            <w:r>
              <w:rPr>
                <w:rFonts w:cs="Arial"/>
                <w:bCs/>
                <w:sz w:val="24"/>
                <w:szCs w:val="24"/>
              </w:rPr>
              <w:t>taking into account</w:t>
            </w:r>
            <w:proofErr w:type="gramEnd"/>
            <w:r>
              <w:rPr>
                <w:rFonts w:cs="Arial"/>
                <w:bCs/>
                <w:sz w:val="24"/>
                <w:szCs w:val="24"/>
              </w:rPr>
              <w:t xml:space="preserve"> pre commitments and risk within their organisations, and the overall programme has been reviewed jointly by Directors of Strategy and Directors of Finance.</w:t>
            </w:r>
          </w:p>
          <w:p w14:paraId="086D9FA8" w14:textId="693AD249" w:rsidR="00CE1F7D" w:rsidRPr="00CE1F7D" w:rsidRDefault="00CE1F7D" w:rsidP="0028025C">
            <w:pPr>
              <w:rPr>
                <w:rFonts w:cs="Arial"/>
                <w:bCs/>
                <w:sz w:val="24"/>
                <w:szCs w:val="24"/>
              </w:rPr>
            </w:pPr>
          </w:p>
        </w:tc>
      </w:tr>
      <w:tr w:rsidR="00D37F52" w:rsidRPr="00D37F52" w14:paraId="0867FF9F" w14:textId="77777777" w:rsidTr="00E72676">
        <w:tc>
          <w:tcPr>
            <w:tcW w:w="988" w:type="dxa"/>
            <w:tcBorders>
              <w:bottom w:val="nil"/>
            </w:tcBorders>
          </w:tcPr>
          <w:p w14:paraId="19AE899D" w14:textId="22E4E163" w:rsidR="00AE1E07" w:rsidRPr="000455BE" w:rsidRDefault="00CE1F7D" w:rsidP="0028025C">
            <w:pPr>
              <w:rPr>
                <w:rFonts w:cs="Arial"/>
                <w:b/>
                <w:bCs/>
                <w:sz w:val="24"/>
                <w:szCs w:val="24"/>
              </w:rPr>
            </w:pPr>
            <w:r>
              <w:rPr>
                <w:rFonts w:cs="Arial"/>
                <w:b/>
                <w:bCs/>
                <w:sz w:val="24"/>
                <w:szCs w:val="24"/>
              </w:rPr>
              <w:t>8</w:t>
            </w:r>
            <w:r w:rsidR="000455BE" w:rsidRPr="000455BE">
              <w:rPr>
                <w:rFonts w:cs="Arial"/>
                <w:b/>
                <w:bCs/>
                <w:sz w:val="24"/>
                <w:szCs w:val="24"/>
              </w:rPr>
              <w:t>.0</w:t>
            </w:r>
          </w:p>
        </w:tc>
        <w:tc>
          <w:tcPr>
            <w:tcW w:w="9922" w:type="dxa"/>
            <w:tcBorders>
              <w:bottom w:val="nil"/>
            </w:tcBorders>
          </w:tcPr>
          <w:p w14:paraId="57E214CA" w14:textId="77777777" w:rsidR="00AE1E07" w:rsidRPr="000455BE" w:rsidRDefault="00AE1E07" w:rsidP="0028025C">
            <w:pPr>
              <w:rPr>
                <w:rFonts w:cs="Arial"/>
                <w:b/>
                <w:sz w:val="24"/>
                <w:szCs w:val="24"/>
              </w:rPr>
            </w:pPr>
            <w:r w:rsidRPr="000455BE">
              <w:rPr>
                <w:rFonts w:cs="Arial"/>
                <w:b/>
                <w:sz w:val="24"/>
                <w:szCs w:val="24"/>
              </w:rPr>
              <w:t>Next Steps</w:t>
            </w:r>
          </w:p>
          <w:p w14:paraId="28DAB316" w14:textId="77777777" w:rsidR="005F6917" w:rsidRPr="005F6917" w:rsidRDefault="005F6917" w:rsidP="005F6917">
            <w:pPr>
              <w:numPr>
                <w:ilvl w:val="0"/>
                <w:numId w:val="27"/>
              </w:numPr>
              <w:ind w:left="360"/>
              <w:jc w:val="both"/>
              <w:rPr>
                <w:rFonts w:cs="Arial"/>
                <w:sz w:val="24"/>
                <w:szCs w:val="24"/>
              </w:rPr>
            </w:pPr>
            <w:r w:rsidRPr="005F6917">
              <w:rPr>
                <w:rFonts w:cs="Arial"/>
                <w:sz w:val="24"/>
                <w:szCs w:val="24"/>
              </w:rPr>
              <w:t xml:space="preserve">Ensuring we can deliver the current financial plan, </w:t>
            </w:r>
          </w:p>
          <w:p w14:paraId="69151F1E" w14:textId="77777777" w:rsidR="005F6917" w:rsidRPr="005F6917" w:rsidRDefault="005F6917" w:rsidP="005F6917">
            <w:pPr>
              <w:numPr>
                <w:ilvl w:val="1"/>
                <w:numId w:val="27"/>
              </w:numPr>
              <w:ind w:left="1080"/>
              <w:jc w:val="both"/>
              <w:rPr>
                <w:rFonts w:cs="Arial"/>
                <w:sz w:val="24"/>
                <w:szCs w:val="24"/>
              </w:rPr>
            </w:pPr>
            <w:r w:rsidRPr="005F6917">
              <w:rPr>
                <w:rFonts w:cs="Arial"/>
                <w:sz w:val="24"/>
                <w:szCs w:val="24"/>
              </w:rPr>
              <w:t xml:space="preserve">Ongoing work on savings in the current plan to get to and implement robust plans </w:t>
            </w:r>
          </w:p>
          <w:p w14:paraId="6A57B0B7" w14:textId="132E4C65" w:rsidR="005F6917" w:rsidRDefault="005F6917" w:rsidP="005F6917">
            <w:pPr>
              <w:numPr>
                <w:ilvl w:val="1"/>
                <w:numId w:val="27"/>
              </w:numPr>
              <w:ind w:left="1080"/>
              <w:jc w:val="both"/>
              <w:rPr>
                <w:rFonts w:cs="Arial"/>
                <w:sz w:val="24"/>
                <w:szCs w:val="24"/>
              </w:rPr>
            </w:pPr>
            <w:r w:rsidRPr="005F6917">
              <w:rPr>
                <w:rFonts w:cs="Arial"/>
                <w:sz w:val="24"/>
                <w:szCs w:val="24"/>
              </w:rPr>
              <w:t>Increase the value of recurrent savings within the plan</w:t>
            </w:r>
          </w:p>
          <w:p w14:paraId="72357E87" w14:textId="77777777" w:rsidR="005F6917" w:rsidRPr="005F6917" w:rsidRDefault="005F6917" w:rsidP="005F6917">
            <w:pPr>
              <w:ind w:left="1080"/>
              <w:jc w:val="both"/>
              <w:rPr>
                <w:rFonts w:cs="Arial"/>
                <w:sz w:val="24"/>
                <w:szCs w:val="24"/>
              </w:rPr>
            </w:pPr>
          </w:p>
          <w:p w14:paraId="41234F1F" w14:textId="77777777" w:rsidR="005F6917" w:rsidRPr="005F6917" w:rsidRDefault="005F6917" w:rsidP="005F6917">
            <w:pPr>
              <w:numPr>
                <w:ilvl w:val="0"/>
                <w:numId w:val="27"/>
              </w:numPr>
              <w:ind w:left="360"/>
              <w:jc w:val="both"/>
              <w:rPr>
                <w:rFonts w:cs="Arial"/>
                <w:sz w:val="24"/>
                <w:szCs w:val="24"/>
              </w:rPr>
            </w:pPr>
            <w:r w:rsidRPr="005F6917">
              <w:rPr>
                <w:rFonts w:cs="Arial"/>
                <w:sz w:val="24"/>
                <w:szCs w:val="24"/>
              </w:rPr>
              <w:t>Focussing, as a system, on cost drivers and areas where we have increased costs but not maintained productivity</w:t>
            </w:r>
          </w:p>
          <w:p w14:paraId="029F2EA8" w14:textId="77777777" w:rsidR="005F6917" w:rsidRPr="005F6917" w:rsidRDefault="005F6917" w:rsidP="005F6917">
            <w:pPr>
              <w:numPr>
                <w:ilvl w:val="1"/>
                <w:numId w:val="27"/>
              </w:numPr>
              <w:ind w:left="1080"/>
              <w:jc w:val="both"/>
              <w:rPr>
                <w:rFonts w:cs="Arial"/>
                <w:sz w:val="24"/>
                <w:szCs w:val="24"/>
              </w:rPr>
            </w:pPr>
            <w:r w:rsidRPr="005F6917">
              <w:rPr>
                <w:rFonts w:cs="Arial"/>
                <w:sz w:val="24"/>
                <w:szCs w:val="24"/>
              </w:rPr>
              <w:t>Acute information more readily available and analysis well developed</w:t>
            </w:r>
          </w:p>
          <w:p w14:paraId="2FCDA711" w14:textId="77777777" w:rsidR="005F6917" w:rsidRPr="005F6917" w:rsidRDefault="005F6917" w:rsidP="005F6917">
            <w:pPr>
              <w:numPr>
                <w:ilvl w:val="1"/>
                <w:numId w:val="27"/>
              </w:numPr>
              <w:ind w:left="1080"/>
              <w:jc w:val="both"/>
              <w:rPr>
                <w:rFonts w:cs="Arial"/>
                <w:sz w:val="24"/>
                <w:szCs w:val="24"/>
              </w:rPr>
            </w:pPr>
            <w:r w:rsidRPr="005F6917">
              <w:rPr>
                <w:rFonts w:cs="Arial"/>
                <w:sz w:val="24"/>
                <w:szCs w:val="24"/>
              </w:rPr>
              <w:t>Information on other sectors harder to produce, further work will be needed to assess position</w:t>
            </w:r>
          </w:p>
          <w:p w14:paraId="7F8F0E51" w14:textId="0943F7F5" w:rsidR="005F6917" w:rsidRDefault="005F6917" w:rsidP="005F6917">
            <w:pPr>
              <w:numPr>
                <w:ilvl w:val="1"/>
                <w:numId w:val="27"/>
              </w:numPr>
              <w:ind w:left="1080"/>
              <w:jc w:val="both"/>
              <w:rPr>
                <w:rFonts w:cs="Arial"/>
                <w:sz w:val="24"/>
                <w:szCs w:val="24"/>
              </w:rPr>
            </w:pPr>
            <w:r w:rsidRPr="005F6917">
              <w:rPr>
                <w:rFonts w:cs="Arial"/>
                <w:sz w:val="24"/>
                <w:szCs w:val="24"/>
              </w:rPr>
              <w:t>Focus on improving productivity so we can manage increasing demand within current costs and, in some circumstances, cost out</w:t>
            </w:r>
          </w:p>
          <w:p w14:paraId="1D66B630" w14:textId="77777777" w:rsidR="00AE1E07" w:rsidRPr="000455BE" w:rsidRDefault="00AE1E07" w:rsidP="005F6917">
            <w:pPr>
              <w:jc w:val="both"/>
              <w:rPr>
                <w:rFonts w:cs="Arial"/>
                <w:b/>
                <w:sz w:val="24"/>
                <w:szCs w:val="24"/>
              </w:rPr>
            </w:pPr>
          </w:p>
        </w:tc>
      </w:tr>
      <w:tr w:rsidR="00D37F52" w:rsidRPr="00D37F52" w14:paraId="103C5141" w14:textId="77777777" w:rsidTr="00E72676">
        <w:tc>
          <w:tcPr>
            <w:tcW w:w="988" w:type="dxa"/>
            <w:tcBorders>
              <w:bottom w:val="nil"/>
            </w:tcBorders>
          </w:tcPr>
          <w:p w14:paraId="18C6225F" w14:textId="1CB9877A" w:rsidR="00AE1E07" w:rsidRPr="005F6917" w:rsidRDefault="00CE1F7D" w:rsidP="0028025C">
            <w:pPr>
              <w:rPr>
                <w:rFonts w:cs="Arial"/>
                <w:b/>
                <w:bCs/>
                <w:sz w:val="24"/>
                <w:szCs w:val="24"/>
              </w:rPr>
            </w:pPr>
            <w:r>
              <w:rPr>
                <w:rFonts w:cs="Arial"/>
                <w:b/>
                <w:bCs/>
                <w:sz w:val="24"/>
                <w:szCs w:val="24"/>
              </w:rPr>
              <w:t>9</w:t>
            </w:r>
            <w:r w:rsidR="005F6917" w:rsidRPr="005F6917">
              <w:rPr>
                <w:rFonts w:cs="Arial"/>
                <w:b/>
                <w:bCs/>
                <w:sz w:val="24"/>
                <w:szCs w:val="24"/>
              </w:rPr>
              <w:t>.0</w:t>
            </w:r>
          </w:p>
        </w:tc>
        <w:tc>
          <w:tcPr>
            <w:tcW w:w="9922" w:type="dxa"/>
            <w:tcBorders>
              <w:bottom w:val="nil"/>
            </w:tcBorders>
          </w:tcPr>
          <w:p w14:paraId="0421656A" w14:textId="77777777" w:rsidR="00AE1E07" w:rsidRPr="005F6917" w:rsidRDefault="00AE1E07" w:rsidP="0028025C">
            <w:pPr>
              <w:jc w:val="both"/>
              <w:rPr>
                <w:rFonts w:cs="Arial"/>
                <w:b/>
                <w:sz w:val="24"/>
                <w:szCs w:val="24"/>
              </w:rPr>
            </w:pPr>
            <w:r w:rsidRPr="005F6917">
              <w:rPr>
                <w:rFonts w:cs="Arial"/>
                <w:b/>
                <w:sz w:val="24"/>
                <w:szCs w:val="24"/>
              </w:rPr>
              <w:t>Recommendation</w:t>
            </w:r>
          </w:p>
        </w:tc>
      </w:tr>
      <w:tr w:rsidR="00D37F52" w:rsidRPr="00D37F52" w14:paraId="5EBB4D8F" w14:textId="77777777" w:rsidTr="00E72676">
        <w:tc>
          <w:tcPr>
            <w:tcW w:w="988" w:type="dxa"/>
            <w:tcBorders>
              <w:top w:val="nil"/>
            </w:tcBorders>
          </w:tcPr>
          <w:p w14:paraId="7505D180" w14:textId="77777777" w:rsidR="00AE1E07" w:rsidRPr="005F6917" w:rsidRDefault="00AE1E07" w:rsidP="0028025C">
            <w:pPr>
              <w:rPr>
                <w:rFonts w:cs="Arial"/>
                <w:b/>
                <w:bCs/>
                <w:sz w:val="24"/>
                <w:szCs w:val="24"/>
              </w:rPr>
            </w:pPr>
          </w:p>
        </w:tc>
        <w:tc>
          <w:tcPr>
            <w:tcW w:w="9922" w:type="dxa"/>
            <w:tcBorders>
              <w:top w:val="nil"/>
            </w:tcBorders>
          </w:tcPr>
          <w:p w14:paraId="7B42FFC0" w14:textId="3D59F099" w:rsidR="00AE1E07" w:rsidRPr="005F6917" w:rsidRDefault="00AE1E07" w:rsidP="0028025C">
            <w:pPr>
              <w:jc w:val="both"/>
              <w:rPr>
                <w:rFonts w:cs="Arial"/>
                <w:sz w:val="24"/>
                <w:szCs w:val="24"/>
              </w:rPr>
            </w:pPr>
            <w:r w:rsidRPr="005F6917">
              <w:rPr>
                <w:rFonts w:cs="Arial"/>
                <w:sz w:val="24"/>
                <w:szCs w:val="24"/>
              </w:rPr>
              <w:t>The Board is asked to:</w:t>
            </w:r>
          </w:p>
          <w:p w14:paraId="2BB2A7CD" w14:textId="5B1AC1AA" w:rsidR="00AE1E07" w:rsidRPr="005F6917" w:rsidRDefault="00AE1E07" w:rsidP="00AE1E07">
            <w:pPr>
              <w:numPr>
                <w:ilvl w:val="0"/>
                <w:numId w:val="15"/>
              </w:numPr>
              <w:spacing w:line="240" w:lineRule="auto"/>
              <w:ind w:left="452" w:hanging="452"/>
              <w:jc w:val="both"/>
              <w:rPr>
                <w:rFonts w:cs="Arial"/>
                <w:sz w:val="24"/>
                <w:szCs w:val="24"/>
              </w:rPr>
            </w:pPr>
            <w:r w:rsidRPr="005F6917">
              <w:rPr>
                <w:rFonts w:cs="Arial"/>
                <w:sz w:val="24"/>
                <w:szCs w:val="24"/>
              </w:rPr>
              <w:t>Approve the proposed 2023/24 budget</w:t>
            </w:r>
            <w:r w:rsidR="00CE1F7D">
              <w:rPr>
                <w:rFonts w:cs="Arial"/>
                <w:sz w:val="24"/>
                <w:szCs w:val="24"/>
              </w:rPr>
              <w:t xml:space="preserve">s, </w:t>
            </w:r>
            <w:proofErr w:type="gramStart"/>
            <w:r w:rsidR="00CE1F7D">
              <w:rPr>
                <w:rFonts w:cs="Arial"/>
                <w:sz w:val="24"/>
                <w:szCs w:val="24"/>
              </w:rPr>
              <w:t>revenue</w:t>
            </w:r>
            <w:proofErr w:type="gramEnd"/>
            <w:r w:rsidR="00CE1F7D">
              <w:rPr>
                <w:rFonts w:cs="Arial"/>
                <w:sz w:val="24"/>
                <w:szCs w:val="24"/>
              </w:rPr>
              <w:t xml:space="preserve"> and capital,</w:t>
            </w:r>
            <w:r w:rsidRPr="005F6917">
              <w:rPr>
                <w:rFonts w:cs="Arial"/>
                <w:sz w:val="24"/>
                <w:szCs w:val="24"/>
              </w:rPr>
              <w:t xml:space="preserve"> </w:t>
            </w:r>
            <w:r w:rsidR="005F6917">
              <w:rPr>
                <w:rFonts w:cs="Arial"/>
                <w:sz w:val="24"/>
                <w:szCs w:val="24"/>
              </w:rPr>
              <w:t>including funding for existing schemes referenced in section 3 for Q1 whilst final decisions are made</w:t>
            </w:r>
          </w:p>
          <w:p w14:paraId="7FDC3E22" w14:textId="183E0607" w:rsidR="00AE1E07" w:rsidRPr="005F6917" w:rsidRDefault="00AE1E07" w:rsidP="00AE1E07">
            <w:pPr>
              <w:numPr>
                <w:ilvl w:val="0"/>
                <w:numId w:val="15"/>
              </w:numPr>
              <w:spacing w:line="240" w:lineRule="auto"/>
              <w:ind w:left="452" w:hanging="452"/>
              <w:jc w:val="both"/>
              <w:rPr>
                <w:rFonts w:cs="Arial"/>
                <w:sz w:val="24"/>
                <w:szCs w:val="24"/>
              </w:rPr>
            </w:pPr>
            <w:r w:rsidRPr="005F6917">
              <w:rPr>
                <w:rFonts w:cs="Arial"/>
                <w:sz w:val="24"/>
                <w:szCs w:val="24"/>
              </w:rPr>
              <w:t xml:space="preserve">Support the measures required to deliver the </w:t>
            </w:r>
            <w:r w:rsidR="005F6917">
              <w:rPr>
                <w:rFonts w:cs="Arial"/>
                <w:sz w:val="24"/>
                <w:szCs w:val="24"/>
              </w:rPr>
              <w:t>proposed</w:t>
            </w:r>
            <w:r w:rsidRPr="005F6917">
              <w:rPr>
                <w:rFonts w:cs="Arial"/>
                <w:sz w:val="24"/>
                <w:szCs w:val="24"/>
              </w:rPr>
              <w:t xml:space="preserve"> budget and improve the overall financial sustainability of the System and ICB </w:t>
            </w:r>
          </w:p>
          <w:p w14:paraId="3F489650" w14:textId="77777777" w:rsidR="00AE1E07" w:rsidRPr="005F6917" w:rsidRDefault="00AE1E07" w:rsidP="00AE1E07">
            <w:pPr>
              <w:numPr>
                <w:ilvl w:val="0"/>
                <w:numId w:val="15"/>
              </w:numPr>
              <w:spacing w:line="240" w:lineRule="auto"/>
              <w:ind w:left="452" w:hanging="452"/>
              <w:jc w:val="both"/>
              <w:rPr>
                <w:rFonts w:cs="Arial"/>
                <w:sz w:val="24"/>
                <w:szCs w:val="24"/>
              </w:rPr>
            </w:pPr>
            <w:r w:rsidRPr="005F6917">
              <w:rPr>
                <w:rFonts w:cs="Arial"/>
                <w:sz w:val="24"/>
                <w:szCs w:val="24"/>
              </w:rPr>
              <w:t xml:space="preserve">Note the inherent risks within the plan </w:t>
            </w:r>
          </w:p>
        </w:tc>
      </w:tr>
      <w:tr w:rsidR="00D37F52" w:rsidRPr="00D37F52" w14:paraId="3208AAE1" w14:textId="77777777" w:rsidTr="00E72676">
        <w:tc>
          <w:tcPr>
            <w:tcW w:w="988" w:type="dxa"/>
          </w:tcPr>
          <w:p w14:paraId="529B4043" w14:textId="77777777" w:rsidR="00AE1E07" w:rsidRPr="00D37F52" w:rsidRDefault="00AE1E07" w:rsidP="0028025C">
            <w:pPr>
              <w:rPr>
                <w:rFonts w:cs="Arial"/>
                <w:b/>
                <w:bCs/>
                <w:color w:val="FF0000"/>
                <w:sz w:val="24"/>
                <w:szCs w:val="24"/>
              </w:rPr>
            </w:pPr>
          </w:p>
        </w:tc>
        <w:tc>
          <w:tcPr>
            <w:tcW w:w="9922" w:type="dxa"/>
          </w:tcPr>
          <w:p w14:paraId="28FD37F6" w14:textId="77777777" w:rsidR="00AE1E07" w:rsidRPr="00336B1B" w:rsidRDefault="00AE1E07" w:rsidP="0028025C">
            <w:pPr>
              <w:rPr>
                <w:rFonts w:cs="Arial"/>
                <w:b/>
                <w:bCs/>
                <w:sz w:val="24"/>
                <w:szCs w:val="24"/>
              </w:rPr>
            </w:pPr>
            <w:r w:rsidRPr="00336B1B">
              <w:rPr>
                <w:rFonts w:cs="Arial"/>
                <w:b/>
                <w:bCs/>
                <w:sz w:val="24"/>
                <w:szCs w:val="24"/>
              </w:rPr>
              <w:t>Appendices</w:t>
            </w:r>
          </w:p>
          <w:p w14:paraId="1558A83E" w14:textId="20E6466E" w:rsidR="00AE1E07" w:rsidRPr="00336B1B" w:rsidRDefault="00AE1E07" w:rsidP="00AE1E07">
            <w:pPr>
              <w:pStyle w:val="ListParagraph"/>
              <w:numPr>
                <w:ilvl w:val="0"/>
                <w:numId w:val="15"/>
              </w:numPr>
              <w:spacing w:line="240" w:lineRule="auto"/>
              <w:contextualSpacing w:val="0"/>
              <w:rPr>
                <w:rFonts w:cs="Arial"/>
                <w:sz w:val="24"/>
                <w:szCs w:val="24"/>
              </w:rPr>
            </w:pPr>
            <w:r w:rsidRPr="00336B1B">
              <w:rPr>
                <w:rFonts w:cs="Arial"/>
                <w:sz w:val="24"/>
                <w:szCs w:val="24"/>
              </w:rPr>
              <w:t xml:space="preserve">Appendix 1 – </w:t>
            </w:r>
            <w:r w:rsidR="00336B1B" w:rsidRPr="00336B1B">
              <w:rPr>
                <w:rFonts w:cs="Arial"/>
                <w:sz w:val="24"/>
                <w:szCs w:val="24"/>
              </w:rPr>
              <w:t>Proposed revenue budget</w:t>
            </w:r>
          </w:p>
          <w:p w14:paraId="053B1E21" w14:textId="795BC645" w:rsidR="00AE1E07" w:rsidRPr="00336B1B" w:rsidRDefault="00AE1E07" w:rsidP="00AE1E07">
            <w:pPr>
              <w:pStyle w:val="ListParagraph"/>
              <w:numPr>
                <w:ilvl w:val="0"/>
                <w:numId w:val="15"/>
              </w:numPr>
              <w:spacing w:line="240" w:lineRule="auto"/>
              <w:contextualSpacing w:val="0"/>
              <w:rPr>
                <w:rFonts w:cs="Arial"/>
                <w:sz w:val="24"/>
                <w:szCs w:val="24"/>
              </w:rPr>
            </w:pPr>
            <w:r w:rsidRPr="00336B1B">
              <w:rPr>
                <w:rFonts w:cs="Arial"/>
                <w:sz w:val="24"/>
                <w:szCs w:val="24"/>
              </w:rPr>
              <w:t xml:space="preserve">Appendix 2 – </w:t>
            </w:r>
            <w:r w:rsidR="00336B1B" w:rsidRPr="00336B1B">
              <w:rPr>
                <w:rFonts w:cs="Arial"/>
                <w:sz w:val="24"/>
                <w:szCs w:val="24"/>
              </w:rPr>
              <w:t>Proposed primary care budget</w:t>
            </w:r>
          </w:p>
          <w:p w14:paraId="47FF9607" w14:textId="11E4211D" w:rsidR="00AE1E07" w:rsidRPr="00336B1B" w:rsidRDefault="00AE1E07" w:rsidP="00AE1E07">
            <w:pPr>
              <w:pStyle w:val="ListParagraph"/>
              <w:numPr>
                <w:ilvl w:val="0"/>
                <w:numId w:val="15"/>
              </w:numPr>
              <w:spacing w:line="240" w:lineRule="auto"/>
              <w:contextualSpacing w:val="0"/>
              <w:rPr>
                <w:rFonts w:cs="Arial"/>
                <w:sz w:val="24"/>
                <w:szCs w:val="24"/>
              </w:rPr>
            </w:pPr>
            <w:r w:rsidRPr="00336B1B">
              <w:rPr>
                <w:rFonts w:cs="Arial"/>
                <w:sz w:val="24"/>
                <w:szCs w:val="24"/>
              </w:rPr>
              <w:t xml:space="preserve">Appendix 3 – </w:t>
            </w:r>
            <w:r w:rsidR="00336B1B" w:rsidRPr="00336B1B">
              <w:rPr>
                <w:rFonts w:cs="Arial"/>
                <w:sz w:val="24"/>
                <w:szCs w:val="24"/>
              </w:rPr>
              <w:t>Proposed POD budget</w:t>
            </w:r>
          </w:p>
          <w:p w14:paraId="332B73AB" w14:textId="6E4262E1" w:rsidR="00AE1E07" w:rsidRPr="00336B1B" w:rsidRDefault="00AE1E07" w:rsidP="00AE1E07">
            <w:pPr>
              <w:pStyle w:val="ListParagraph"/>
              <w:numPr>
                <w:ilvl w:val="0"/>
                <w:numId w:val="15"/>
              </w:numPr>
              <w:spacing w:line="240" w:lineRule="auto"/>
              <w:contextualSpacing w:val="0"/>
              <w:rPr>
                <w:rFonts w:cs="Arial"/>
                <w:sz w:val="24"/>
                <w:szCs w:val="24"/>
              </w:rPr>
            </w:pPr>
            <w:r w:rsidRPr="00336B1B">
              <w:rPr>
                <w:rFonts w:cs="Arial"/>
                <w:sz w:val="24"/>
                <w:szCs w:val="24"/>
              </w:rPr>
              <w:t xml:space="preserve">Appendix 4 – </w:t>
            </w:r>
            <w:r w:rsidR="00336B1B" w:rsidRPr="00336B1B">
              <w:rPr>
                <w:rFonts w:cs="Arial"/>
                <w:sz w:val="24"/>
                <w:szCs w:val="24"/>
              </w:rPr>
              <w:t>Risk management</w:t>
            </w:r>
          </w:p>
          <w:p w14:paraId="25013AE5" w14:textId="7EBFE258" w:rsidR="00AE1E07" w:rsidRPr="00336B1B" w:rsidRDefault="00AE1E07" w:rsidP="00AE1E07">
            <w:pPr>
              <w:pStyle w:val="ListParagraph"/>
              <w:numPr>
                <w:ilvl w:val="0"/>
                <w:numId w:val="15"/>
              </w:numPr>
              <w:spacing w:line="240" w:lineRule="auto"/>
              <w:contextualSpacing w:val="0"/>
              <w:rPr>
                <w:rFonts w:cs="Arial"/>
                <w:sz w:val="24"/>
                <w:szCs w:val="24"/>
              </w:rPr>
            </w:pPr>
            <w:r w:rsidRPr="00336B1B">
              <w:rPr>
                <w:rFonts w:cs="Arial"/>
                <w:sz w:val="24"/>
                <w:szCs w:val="24"/>
              </w:rPr>
              <w:t xml:space="preserve">Appendix 5 – </w:t>
            </w:r>
            <w:r w:rsidR="00336B1B" w:rsidRPr="00336B1B">
              <w:rPr>
                <w:rFonts w:cs="Arial"/>
                <w:sz w:val="24"/>
                <w:szCs w:val="24"/>
              </w:rPr>
              <w:t>Proposed capital budget</w:t>
            </w:r>
          </w:p>
          <w:p w14:paraId="3B3D1984" w14:textId="77777777" w:rsidR="00AE1E07" w:rsidRPr="00D37F52" w:rsidRDefault="00AE1E07" w:rsidP="0028025C">
            <w:pPr>
              <w:pStyle w:val="ListParagraph"/>
              <w:rPr>
                <w:rFonts w:cs="Arial"/>
                <w:bCs/>
                <w:color w:val="FF0000"/>
                <w:sz w:val="24"/>
                <w:szCs w:val="24"/>
              </w:rPr>
            </w:pPr>
          </w:p>
        </w:tc>
      </w:tr>
    </w:tbl>
    <w:p w14:paraId="1F28E768" w14:textId="77777777" w:rsidR="00AE1E07" w:rsidRPr="00D37F52" w:rsidRDefault="00AE1E07" w:rsidP="009C2029">
      <w:pPr>
        <w:spacing w:after="220"/>
        <w:rPr>
          <w:rFonts w:cs="Arial"/>
          <w:color w:val="FF0000"/>
          <w:sz w:val="24"/>
          <w:szCs w:val="24"/>
        </w:rPr>
      </w:pPr>
    </w:p>
    <w:sectPr w:rsidR="00AE1E07" w:rsidRPr="00D37F52" w:rsidSect="00EE633D">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D0AE4" w14:textId="77777777" w:rsidR="00CB1A45" w:rsidRDefault="00CB1A45" w:rsidP="001F0224">
      <w:r>
        <w:separator/>
      </w:r>
    </w:p>
  </w:endnote>
  <w:endnote w:type="continuationSeparator" w:id="0">
    <w:p w14:paraId="6FB80210" w14:textId="77777777" w:rsidR="00CB1A45" w:rsidRDefault="00CB1A45" w:rsidP="001F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533085"/>
      <w:docPartObj>
        <w:docPartGallery w:val="Page Numbers (Bottom of Page)"/>
        <w:docPartUnique/>
      </w:docPartObj>
    </w:sdtPr>
    <w:sdtEndPr>
      <w:rPr>
        <w:rFonts w:cs="Arial"/>
      </w:rPr>
    </w:sdtEndPr>
    <w:sdtContent>
      <w:p w14:paraId="555E40E3" w14:textId="77777777" w:rsidR="00EE633D" w:rsidRDefault="00EE633D">
        <w:pPr>
          <w:pStyle w:val="Footer"/>
          <w:jc w:val="right"/>
        </w:pPr>
      </w:p>
      <w:sdt>
        <w:sdtPr>
          <w:id w:val="860082579"/>
          <w:docPartObj>
            <w:docPartGallery w:val="Page Numbers (Top of Page)"/>
            <w:docPartUnique/>
          </w:docPartObj>
        </w:sdtPr>
        <w:sdtEndPr>
          <w:rPr>
            <w:rFonts w:cs="Arial"/>
          </w:rPr>
        </w:sdtEndPr>
        <w:sdtContent>
          <w:p w14:paraId="168037D1" w14:textId="51A5814D" w:rsidR="001F0224" w:rsidRPr="001F0224" w:rsidRDefault="001F0224">
            <w:pPr>
              <w:pStyle w:val="Footer"/>
              <w:jc w:val="right"/>
              <w:rPr>
                <w:rFonts w:cs="Arial"/>
              </w:rPr>
            </w:pPr>
            <w:r w:rsidRPr="001F0224">
              <w:rPr>
                <w:rFonts w:cs="Arial"/>
              </w:rPr>
              <w:t xml:space="preserve">Page </w:t>
            </w:r>
            <w:r w:rsidRPr="001F0224">
              <w:rPr>
                <w:rFonts w:cs="Arial"/>
                <w:b/>
                <w:bCs/>
                <w:sz w:val="24"/>
                <w:szCs w:val="24"/>
              </w:rPr>
              <w:fldChar w:fldCharType="begin"/>
            </w:r>
            <w:r w:rsidRPr="001F0224">
              <w:rPr>
                <w:rFonts w:cs="Arial"/>
                <w:b/>
                <w:bCs/>
              </w:rPr>
              <w:instrText xml:space="preserve"> PAGE </w:instrText>
            </w:r>
            <w:r w:rsidRPr="001F0224">
              <w:rPr>
                <w:rFonts w:cs="Arial"/>
                <w:b/>
                <w:bCs/>
                <w:sz w:val="24"/>
                <w:szCs w:val="24"/>
              </w:rPr>
              <w:fldChar w:fldCharType="separate"/>
            </w:r>
            <w:r w:rsidR="00F81D7F">
              <w:rPr>
                <w:rFonts w:cs="Arial"/>
                <w:b/>
                <w:bCs/>
                <w:noProof/>
              </w:rPr>
              <w:t>1</w:t>
            </w:r>
            <w:r w:rsidRPr="001F0224">
              <w:rPr>
                <w:rFonts w:cs="Arial"/>
                <w:b/>
                <w:bCs/>
                <w:sz w:val="24"/>
                <w:szCs w:val="24"/>
              </w:rPr>
              <w:fldChar w:fldCharType="end"/>
            </w:r>
            <w:r w:rsidRPr="001F0224">
              <w:rPr>
                <w:rFonts w:cs="Arial"/>
              </w:rPr>
              <w:t xml:space="preserve"> of </w:t>
            </w:r>
            <w:r w:rsidRPr="001F0224">
              <w:rPr>
                <w:rFonts w:cs="Arial"/>
                <w:b/>
                <w:bCs/>
                <w:sz w:val="24"/>
                <w:szCs w:val="24"/>
              </w:rPr>
              <w:fldChar w:fldCharType="begin"/>
            </w:r>
            <w:r w:rsidRPr="001F0224">
              <w:rPr>
                <w:rFonts w:cs="Arial"/>
                <w:b/>
                <w:bCs/>
              </w:rPr>
              <w:instrText xml:space="preserve"> NUMPAGES  </w:instrText>
            </w:r>
            <w:r w:rsidRPr="001F0224">
              <w:rPr>
                <w:rFonts w:cs="Arial"/>
                <w:b/>
                <w:bCs/>
                <w:sz w:val="24"/>
                <w:szCs w:val="24"/>
              </w:rPr>
              <w:fldChar w:fldCharType="separate"/>
            </w:r>
            <w:r w:rsidR="00F81D7F">
              <w:rPr>
                <w:rFonts w:cs="Arial"/>
                <w:b/>
                <w:bCs/>
                <w:noProof/>
              </w:rPr>
              <w:t>3</w:t>
            </w:r>
            <w:r w:rsidRPr="001F0224">
              <w:rPr>
                <w:rFonts w:cs="Arial"/>
                <w:b/>
                <w:bCs/>
                <w:sz w:val="24"/>
                <w:szCs w:val="24"/>
              </w:rPr>
              <w:fldChar w:fldCharType="end"/>
            </w:r>
          </w:p>
        </w:sdtContent>
      </w:sdt>
    </w:sdtContent>
  </w:sdt>
  <w:p w14:paraId="4FEA112F" w14:textId="77777777" w:rsidR="001F0224" w:rsidRDefault="00EB110F">
    <w:pPr>
      <w:pStyle w:val="Footer"/>
    </w:pPr>
    <w:r>
      <w:rPr>
        <w:noProof/>
        <w:lang w:eastAsia="en-GB"/>
      </w:rPr>
      <w:drawing>
        <wp:anchor distT="0" distB="0" distL="114300" distR="114300" simplePos="0" relativeHeight="251658240" behindDoc="1" locked="0" layoutInCell="1" allowOverlap="1" wp14:anchorId="41BAE308" wp14:editId="1564A89E">
          <wp:simplePos x="0" y="0"/>
          <wp:positionH relativeFrom="column">
            <wp:posOffset>0</wp:posOffset>
          </wp:positionH>
          <wp:positionV relativeFrom="paragraph">
            <wp:posOffset>-174625</wp:posOffset>
          </wp:positionV>
          <wp:extent cx="6876415" cy="336550"/>
          <wp:effectExtent l="0" t="0" r="635" b="6350"/>
          <wp:wrapNone/>
          <wp:docPr id="5" name="Picture 5" descr="Joined Up 190mmStrapline_PMS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ined Up 190mmStrapline_PMS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6415" cy="3365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201B2" w14:textId="77777777" w:rsidR="00CB1A45" w:rsidRDefault="00CB1A45" w:rsidP="001F0224">
      <w:r>
        <w:separator/>
      </w:r>
    </w:p>
  </w:footnote>
  <w:footnote w:type="continuationSeparator" w:id="0">
    <w:p w14:paraId="5EC07715" w14:textId="77777777" w:rsidR="00CB1A45" w:rsidRDefault="00CB1A45" w:rsidP="001F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A31"/>
    <w:multiLevelType w:val="hybridMultilevel"/>
    <w:tmpl w:val="7CCC05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B2B4B"/>
    <w:multiLevelType w:val="hybridMultilevel"/>
    <w:tmpl w:val="A08A5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9143B"/>
    <w:multiLevelType w:val="hybridMultilevel"/>
    <w:tmpl w:val="AAF2ABDE"/>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79D45FA"/>
    <w:multiLevelType w:val="hybridMultilevel"/>
    <w:tmpl w:val="DAD80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00853"/>
    <w:multiLevelType w:val="hybridMultilevel"/>
    <w:tmpl w:val="0FFA5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572C9"/>
    <w:multiLevelType w:val="hybridMultilevel"/>
    <w:tmpl w:val="A83443C0"/>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6" w15:restartNumberingAfterBreak="0">
    <w:nsid w:val="1B2A612C"/>
    <w:multiLevelType w:val="hybridMultilevel"/>
    <w:tmpl w:val="2C96CE5C"/>
    <w:lvl w:ilvl="0" w:tplc="08090001">
      <w:start w:val="1"/>
      <w:numFmt w:val="bullet"/>
      <w:lvlText w:val=""/>
      <w:lvlJc w:val="left"/>
      <w:pPr>
        <w:ind w:left="806" w:hanging="360"/>
      </w:pPr>
      <w:rPr>
        <w:rFonts w:ascii="Symbol" w:hAnsi="Symbol"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7" w15:restartNumberingAfterBreak="0">
    <w:nsid w:val="1C693030"/>
    <w:multiLevelType w:val="hybridMultilevel"/>
    <w:tmpl w:val="AF88A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F73FD4"/>
    <w:multiLevelType w:val="multilevel"/>
    <w:tmpl w:val="BEB82156"/>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9" w15:restartNumberingAfterBreak="0">
    <w:nsid w:val="26D73361"/>
    <w:multiLevelType w:val="hybridMultilevel"/>
    <w:tmpl w:val="D54A1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4D47ED"/>
    <w:multiLevelType w:val="hybridMultilevel"/>
    <w:tmpl w:val="3782E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3A78E3"/>
    <w:multiLevelType w:val="hybridMultilevel"/>
    <w:tmpl w:val="D6980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9C0B00"/>
    <w:multiLevelType w:val="hybridMultilevel"/>
    <w:tmpl w:val="48B6D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67122A"/>
    <w:multiLevelType w:val="hybridMultilevel"/>
    <w:tmpl w:val="0054D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DD60CC"/>
    <w:multiLevelType w:val="hybridMultilevel"/>
    <w:tmpl w:val="9C88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042E28"/>
    <w:multiLevelType w:val="hybridMultilevel"/>
    <w:tmpl w:val="CDA83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3F065B"/>
    <w:multiLevelType w:val="hybridMultilevel"/>
    <w:tmpl w:val="08305380"/>
    <w:lvl w:ilvl="0" w:tplc="08090001">
      <w:start w:val="1"/>
      <w:numFmt w:val="bullet"/>
      <w:lvlText w:val=""/>
      <w:lvlJc w:val="left"/>
      <w:pPr>
        <w:ind w:left="806" w:hanging="360"/>
      </w:pPr>
      <w:rPr>
        <w:rFonts w:ascii="Symbol" w:hAnsi="Symbol"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17" w15:restartNumberingAfterBreak="0">
    <w:nsid w:val="59317DEF"/>
    <w:multiLevelType w:val="hybridMultilevel"/>
    <w:tmpl w:val="2BDCE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144996"/>
    <w:multiLevelType w:val="hybridMultilevel"/>
    <w:tmpl w:val="77381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C23E7C"/>
    <w:multiLevelType w:val="hybridMultilevel"/>
    <w:tmpl w:val="95905D8A"/>
    <w:lvl w:ilvl="0" w:tplc="10AE2172">
      <w:start w:val="693"/>
      <w:numFmt w:val="bullet"/>
      <w:lvlText w:val="-"/>
      <w:lvlJc w:val="left"/>
      <w:pPr>
        <w:ind w:left="502" w:hanging="360"/>
      </w:pPr>
      <w:rPr>
        <w:rFonts w:ascii="Arial" w:eastAsia="Times New Roman" w:hAnsi="Arial" w:cs="Arial" w:hint="default"/>
      </w:rPr>
    </w:lvl>
    <w:lvl w:ilvl="1" w:tplc="4E9E8EAA">
      <w:start w:val="1"/>
      <w:numFmt w:val="bullet"/>
      <w:lvlText w:val=""/>
      <w:lvlJc w:val="left"/>
      <w:pPr>
        <w:ind w:left="1140" w:hanging="360"/>
      </w:pPr>
      <w:rPr>
        <w:rFonts w:ascii="Symbol" w:hAnsi="Symbol"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0" w15:restartNumberingAfterBreak="0">
    <w:nsid w:val="5F45197A"/>
    <w:multiLevelType w:val="hybridMultilevel"/>
    <w:tmpl w:val="1CA8B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843A9F"/>
    <w:multiLevelType w:val="hybridMultilevel"/>
    <w:tmpl w:val="352C49AA"/>
    <w:lvl w:ilvl="0" w:tplc="4C1AF6FE">
      <w:start w:val="1"/>
      <w:numFmt w:val="decimal"/>
      <w:lvlText w:val="%1."/>
      <w:lvlJc w:val="left"/>
      <w:pPr>
        <w:tabs>
          <w:tab w:val="num" w:pos="720"/>
        </w:tabs>
        <w:ind w:left="720" w:hanging="360"/>
      </w:pPr>
    </w:lvl>
    <w:lvl w:ilvl="1" w:tplc="0250223A">
      <w:numFmt w:val="bullet"/>
      <w:lvlText w:val="•"/>
      <w:lvlJc w:val="left"/>
      <w:pPr>
        <w:tabs>
          <w:tab w:val="num" w:pos="1440"/>
        </w:tabs>
        <w:ind w:left="1440" w:hanging="360"/>
      </w:pPr>
      <w:rPr>
        <w:rFonts w:ascii="Arial" w:hAnsi="Arial" w:hint="default"/>
      </w:rPr>
    </w:lvl>
    <w:lvl w:ilvl="2" w:tplc="751C34C8" w:tentative="1">
      <w:start w:val="1"/>
      <w:numFmt w:val="decimal"/>
      <w:lvlText w:val="%3."/>
      <w:lvlJc w:val="left"/>
      <w:pPr>
        <w:tabs>
          <w:tab w:val="num" w:pos="2160"/>
        </w:tabs>
        <w:ind w:left="2160" w:hanging="360"/>
      </w:pPr>
    </w:lvl>
    <w:lvl w:ilvl="3" w:tplc="45F4ED26" w:tentative="1">
      <w:start w:val="1"/>
      <w:numFmt w:val="decimal"/>
      <w:lvlText w:val="%4."/>
      <w:lvlJc w:val="left"/>
      <w:pPr>
        <w:tabs>
          <w:tab w:val="num" w:pos="2880"/>
        </w:tabs>
        <w:ind w:left="2880" w:hanging="360"/>
      </w:pPr>
    </w:lvl>
    <w:lvl w:ilvl="4" w:tplc="5224B65C" w:tentative="1">
      <w:start w:val="1"/>
      <w:numFmt w:val="decimal"/>
      <w:lvlText w:val="%5."/>
      <w:lvlJc w:val="left"/>
      <w:pPr>
        <w:tabs>
          <w:tab w:val="num" w:pos="3600"/>
        </w:tabs>
        <w:ind w:left="3600" w:hanging="360"/>
      </w:pPr>
    </w:lvl>
    <w:lvl w:ilvl="5" w:tplc="6B3A1688" w:tentative="1">
      <w:start w:val="1"/>
      <w:numFmt w:val="decimal"/>
      <w:lvlText w:val="%6."/>
      <w:lvlJc w:val="left"/>
      <w:pPr>
        <w:tabs>
          <w:tab w:val="num" w:pos="4320"/>
        </w:tabs>
        <w:ind w:left="4320" w:hanging="360"/>
      </w:pPr>
    </w:lvl>
    <w:lvl w:ilvl="6" w:tplc="C9B848BA" w:tentative="1">
      <w:start w:val="1"/>
      <w:numFmt w:val="decimal"/>
      <w:lvlText w:val="%7."/>
      <w:lvlJc w:val="left"/>
      <w:pPr>
        <w:tabs>
          <w:tab w:val="num" w:pos="5040"/>
        </w:tabs>
        <w:ind w:left="5040" w:hanging="360"/>
      </w:pPr>
    </w:lvl>
    <w:lvl w:ilvl="7" w:tplc="5C4AED46" w:tentative="1">
      <w:start w:val="1"/>
      <w:numFmt w:val="decimal"/>
      <w:lvlText w:val="%8."/>
      <w:lvlJc w:val="left"/>
      <w:pPr>
        <w:tabs>
          <w:tab w:val="num" w:pos="5760"/>
        </w:tabs>
        <w:ind w:left="5760" w:hanging="360"/>
      </w:pPr>
    </w:lvl>
    <w:lvl w:ilvl="8" w:tplc="36DA9CCA" w:tentative="1">
      <w:start w:val="1"/>
      <w:numFmt w:val="decimal"/>
      <w:lvlText w:val="%9."/>
      <w:lvlJc w:val="left"/>
      <w:pPr>
        <w:tabs>
          <w:tab w:val="num" w:pos="6480"/>
        </w:tabs>
        <w:ind w:left="6480" w:hanging="360"/>
      </w:pPr>
    </w:lvl>
  </w:abstractNum>
  <w:abstractNum w:abstractNumId="22" w15:restartNumberingAfterBreak="0">
    <w:nsid w:val="67E64158"/>
    <w:multiLevelType w:val="hybridMultilevel"/>
    <w:tmpl w:val="0F2A0DE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6F58415B"/>
    <w:multiLevelType w:val="hybridMultilevel"/>
    <w:tmpl w:val="F5323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736058"/>
    <w:multiLevelType w:val="hybridMultilevel"/>
    <w:tmpl w:val="6A2C791C"/>
    <w:lvl w:ilvl="0" w:tplc="CC9033BE">
      <w:start w:val="2"/>
      <w:numFmt w:val="bullet"/>
      <w:lvlText w:val="-"/>
      <w:lvlJc w:val="left"/>
      <w:pPr>
        <w:ind w:left="480" w:hanging="360"/>
      </w:pPr>
      <w:rPr>
        <w:rFonts w:ascii="Arial" w:eastAsia="Times New Roman" w:hAnsi="Arial" w:cs="Aria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5" w15:restartNumberingAfterBreak="0">
    <w:nsid w:val="70094A45"/>
    <w:multiLevelType w:val="hybridMultilevel"/>
    <w:tmpl w:val="EC2A9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775D8A"/>
    <w:multiLevelType w:val="hybridMultilevel"/>
    <w:tmpl w:val="6596C0BC"/>
    <w:lvl w:ilvl="0" w:tplc="77D4A122">
      <w:start w:val="1"/>
      <w:numFmt w:val="decimal"/>
      <w:lvlText w:val="%1."/>
      <w:lvlJc w:val="left"/>
      <w:pPr>
        <w:tabs>
          <w:tab w:val="num" w:pos="360"/>
        </w:tabs>
        <w:ind w:left="360" w:hanging="360"/>
      </w:pPr>
    </w:lvl>
    <w:lvl w:ilvl="1" w:tplc="3A6E1530" w:tentative="1">
      <w:start w:val="1"/>
      <w:numFmt w:val="decimal"/>
      <w:lvlText w:val="%2."/>
      <w:lvlJc w:val="left"/>
      <w:pPr>
        <w:tabs>
          <w:tab w:val="num" w:pos="1080"/>
        </w:tabs>
        <w:ind w:left="1080" w:hanging="360"/>
      </w:pPr>
    </w:lvl>
    <w:lvl w:ilvl="2" w:tplc="43F2174A" w:tentative="1">
      <w:start w:val="1"/>
      <w:numFmt w:val="decimal"/>
      <w:lvlText w:val="%3."/>
      <w:lvlJc w:val="left"/>
      <w:pPr>
        <w:tabs>
          <w:tab w:val="num" w:pos="1800"/>
        </w:tabs>
        <w:ind w:left="1800" w:hanging="360"/>
      </w:pPr>
    </w:lvl>
    <w:lvl w:ilvl="3" w:tplc="F99204F0" w:tentative="1">
      <w:start w:val="1"/>
      <w:numFmt w:val="decimal"/>
      <w:lvlText w:val="%4."/>
      <w:lvlJc w:val="left"/>
      <w:pPr>
        <w:tabs>
          <w:tab w:val="num" w:pos="2520"/>
        </w:tabs>
        <w:ind w:left="2520" w:hanging="360"/>
      </w:pPr>
    </w:lvl>
    <w:lvl w:ilvl="4" w:tplc="CD80361C" w:tentative="1">
      <w:start w:val="1"/>
      <w:numFmt w:val="decimal"/>
      <w:lvlText w:val="%5."/>
      <w:lvlJc w:val="left"/>
      <w:pPr>
        <w:tabs>
          <w:tab w:val="num" w:pos="3240"/>
        </w:tabs>
        <w:ind w:left="3240" w:hanging="360"/>
      </w:pPr>
    </w:lvl>
    <w:lvl w:ilvl="5" w:tplc="16B8D2F8" w:tentative="1">
      <w:start w:val="1"/>
      <w:numFmt w:val="decimal"/>
      <w:lvlText w:val="%6."/>
      <w:lvlJc w:val="left"/>
      <w:pPr>
        <w:tabs>
          <w:tab w:val="num" w:pos="3960"/>
        </w:tabs>
        <w:ind w:left="3960" w:hanging="360"/>
      </w:pPr>
    </w:lvl>
    <w:lvl w:ilvl="6" w:tplc="1D0EE93A" w:tentative="1">
      <w:start w:val="1"/>
      <w:numFmt w:val="decimal"/>
      <w:lvlText w:val="%7."/>
      <w:lvlJc w:val="left"/>
      <w:pPr>
        <w:tabs>
          <w:tab w:val="num" w:pos="4680"/>
        </w:tabs>
        <w:ind w:left="4680" w:hanging="360"/>
      </w:pPr>
    </w:lvl>
    <w:lvl w:ilvl="7" w:tplc="1410FF5E" w:tentative="1">
      <w:start w:val="1"/>
      <w:numFmt w:val="decimal"/>
      <w:lvlText w:val="%8."/>
      <w:lvlJc w:val="left"/>
      <w:pPr>
        <w:tabs>
          <w:tab w:val="num" w:pos="5400"/>
        </w:tabs>
        <w:ind w:left="5400" w:hanging="360"/>
      </w:pPr>
    </w:lvl>
    <w:lvl w:ilvl="8" w:tplc="7AB2643C" w:tentative="1">
      <w:start w:val="1"/>
      <w:numFmt w:val="decimal"/>
      <w:lvlText w:val="%9."/>
      <w:lvlJc w:val="left"/>
      <w:pPr>
        <w:tabs>
          <w:tab w:val="num" w:pos="6120"/>
        </w:tabs>
        <w:ind w:left="6120" w:hanging="360"/>
      </w:pPr>
    </w:lvl>
  </w:abstractNum>
  <w:num w:numId="1">
    <w:abstractNumId w:val="2"/>
  </w:num>
  <w:num w:numId="2">
    <w:abstractNumId w:val="9"/>
  </w:num>
  <w:num w:numId="3">
    <w:abstractNumId w:val="8"/>
  </w:num>
  <w:num w:numId="4">
    <w:abstractNumId w:val="10"/>
  </w:num>
  <w:num w:numId="5">
    <w:abstractNumId w:val="13"/>
  </w:num>
  <w:num w:numId="6">
    <w:abstractNumId w:val="17"/>
  </w:num>
  <w:num w:numId="7">
    <w:abstractNumId w:val="25"/>
  </w:num>
  <w:num w:numId="8">
    <w:abstractNumId w:val="11"/>
  </w:num>
  <w:num w:numId="9">
    <w:abstractNumId w:val="26"/>
  </w:num>
  <w:num w:numId="10">
    <w:abstractNumId w:val="0"/>
  </w:num>
  <w:num w:numId="11">
    <w:abstractNumId w:val="12"/>
  </w:num>
  <w:num w:numId="12">
    <w:abstractNumId w:val="23"/>
  </w:num>
  <w:num w:numId="13">
    <w:abstractNumId w:val="22"/>
  </w:num>
  <w:num w:numId="14">
    <w:abstractNumId w:val="14"/>
  </w:num>
  <w:num w:numId="15">
    <w:abstractNumId w:val="1"/>
  </w:num>
  <w:num w:numId="16">
    <w:abstractNumId w:val="4"/>
  </w:num>
  <w:num w:numId="17">
    <w:abstractNumId w:val="19"/>
  </w:num>
  <w:num w:numId="18">
    <w:abstractNumId w:val="24"/>
  </w:num>
  <w:num w:numId="19">
    <w:abstractNumId w:val="3"/>
  </w:num>
  <w:num w:numId="20">
    <w:abstractNumId w:val="16"/>
  </w:num>
  <w:num w:numId="21">
    <w:abstractNumId w:val="20"/>
  </w:num>
  <w:num w:numId="22">
    <w:abstractNumId w:val="7"/>
  </w:num>
  <w:num w:numId="23">
    <w:abstractNumId w:val="6"/>
  </w:num>
  <w:num w:numId="24">
    <w:abstractNumId w:val="15"/>
  </w:num>
  <w:num w:numId="25">
    <w:abstractNumId w:val="18"/>
  </w:num>
  <w:num w:numId="26">
    <w:abstractNumId w:val="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224"/>
    <w:rsid w:val="000455BE"/>
    <w:rsid w:val="000473AC"/>
    <w:rsid w:val="000B4E44"/>
    <w:rsid w:val="000B6125"/>
    <w:rsid w:val="000C6E3A"/>
    <w:rsid w:val="000E36FB"/>
    <w:rsid w:val="00106834"/>
    <w:rsid w:val="001078F6"/>
    <w:rsid w:val="0011511C"/>
    <w:rsid w:val="001228D7"/>
    <w:rsid w:val="00126C01"/>
    <w:rsid w:val="00145E4E"/>
    <w:rsid w:val="0014611E"/>
    <w:rsid w:val="001A194E"/>
    <w:rsid w:val="001C365A"/>
    <w:rsid w:val="001F0224"/>
    <w:rsid w:val="001F347E"/>
    <w:rsid w:val="0021205D"/>
    <w:rsid w:val="00230143"/>
    <w:rsid w:val="00276BF7"/>
    <w:rsid w:val="00287900"/>
    <w:rsid w:val="002B19B9"/>
    <w:rsid w:val="002E2870"/>
    <w:rsid w:val="003158EF"/>
    <w:rsid w:val="00335FA9"/>
    <w:rsid w:val="00336B1B"/>
    <w:rsid w:val="0034654F"/>
    <w:rsid w:val="00366588"/>
    <w:rsid w:val="00374C16"/>
    <w:rsid w:val="003A3259"/>
    <w:rsid w:val="003B216C"/>
    <w:rsid w:val="003B44A9"/>
    <w:rsid w:val="003C0B9D"/>
    <w:rsid w:val="003C103B"/>
    <w:rsid w:val="003E0193"/>
    <w:rsid w:val="00407A81"/>
    <w:rsid w:val="004445A3"/>
    <w:rsid w:val="00444F40"/>
    <w:rsid w:val="004838C4"/>
    <w:rsid w:val="00495E6A"/>
    <w:rsid w:val="004A2968"/>
    <w:rsid w:val="004D7460"/>
    <w:rsid w:val="00525689"/>
    <w:rsid w:val="005B078B"/>
    <w:rsid w:val="005B2C69"/>
    <w:rsid w:val="005C1988"/>
    <w:rsid w:val="005F6917"/>
    <w:rsid w:val="006230D8"/>
    <w:rsid w:val="006B10F8"/>
    <w:rsid w:val="006C6A74"/>
    <w:rsid w:val="00700876"/>
    <w:rsid w:val="007060C1"/>
    <w:rsid w:val="0071245A"/>
    <w:rsid w:val="00772AA8"/>
    <w:rsid w:val="00797813"/>
    <w:rsid w:val="007A37C7"/>
    <w:rsid w:val="007F3533"/>
    <w:rsid w:val="007F6823"/>
    <w:rsid w:val="00805543"/>
    <w:rsid w:val="0082442F"/>
    <w:rsid w:val="008F47F2"/>
    <w:rsid w:val="009070B7"/>
    <w:rsid w:val="0093752A"/>
    <w:rsid w:val="00943DD3"/>
    <w:rsid w:val="00957CAF"/>
    <w:rsid w:val="00971A3C"/>
    <w:rsid w:val="00981EDB"/>
    <w:rsid w:val="00983A03"/>
    <w:rsid w:val="00990548"/>
    <w:rsid w:val="00990B48"/>
    <w:rsid w:val="009C2029"/>
    <w:rsid w:val="009D1F0F"/>
    <w:rsid w:val="009D4074"/>
    <w:rsid w:val="00A012D6"/>
    <w:rsid w:val="00A13798"/>
    <w:rsid w:val="00A27C68"/>
    <w:rsid w:val="00A33E9E"/>
    <w:rsid w:val="00A66256"/>
    <w:rsid w:val="00A71A36"/>
    <w:rsid w:val="00A765CD"/>
    <w:rsid w:val="00AE1E07"/>
    <w:rsid w:val="00AE4EA0"/>
    <w:rsid w:val="00B05BF9"/>
    <w:rsid w:val="00B06C5F"/>
    <w:rsid w:val="00B90657"/>
    <w:rsid w:val="00BE6B9A"/>
    <w:rsid w:val="00BF4149"/>
    <w:rsid w:val="00BF4C75"/>
    <w:rsid w:val="00C17A84"/>
    <w:rsid w:val="00C651B9"/>
    <w:rsid w:val="00C75985"/>
    <w:rsid w:val="00CB1A45"/>
    <w:rsid w:val="00CC77E2"/>
    <w:rsid w:val="00CE1F7D"/>
    <w:rsid w:val="00D10818"/>
    <w:rsid w:val="00D37F52"/>
    <w:rsid w:val="00D83558"/>
    <w:rsid w:val="00D87EEC"/>
    <w:rsid w:val="00D9530F"/>
    <w:rsid w:val="00E0185B"/>
    <w:rsid w:val="00E54DED"/>
    <w:rsid w:val="00E64132"/>
    <w:rsid w:val="00E67EC7"/>
    <w:rsid w:val="00E72676"/>
    <w:rsid w:val="00EA0727"/>
    <w:rsid w:val="00EB110F"/>
    <w:rsid w:val="00EB5896"/>
    <w:rsid w:val="00ED7165"/>
    <w:rsid w:val="00EE633D"/>
    <w:rsid w:val="00F028E8"/>
    <w:rsid w:val="00F05C52"/>
    <w:rsid w:val="00F14229"/>
    <w:rsid w:val="00F76178"/>
    <w:rsid w:val="00F81D7F"/>
    <w:rsid w:val="00F86108"/>
    <w:rsid w:val="00F93ED6"/>
    <w:rsid w:val="00FA73FF"/>
    <w:rsid w:val="00FD0022"/>
    <w:rsid w:val="00FF6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BE4E8"/>
  <w15:docId w15:val="{7F8B8188-05D7-49A5-A836-8218F2AB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968"/>
    <w:pPr>
      <w:spacing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224"/>
    <w:pPr>
      <w:tabs>
        <w:tab w:val="center" w:pos="4513"/>
        <w:tab w:val="right" w:pos="9026"/>
      </w:tabs>
    </w:pPr>
  </w:style>
  <w:style w:type="character" w:customStyle="1" w:styleId="HeaderChar">
    <w:name w:val="Header Char"/>
    <w:basedOn w:val="DefaultParagraphFont"/>
    <w:link w:val="Header"/>
    <w:uiPriority w:val="99"/>
    <w:rsid w:val="001F0224"/>
  </w:style>
  <w:style w:type="paragraph" w:styleId="Footer">
    <w:name w:val="footer"/>
    <w:basedOn w:val="Normal"/>
    <w:link w:val="FooterChar"/>
    <w:uiPriority w:val="99"/>
    <w:unhideWhenUsed/>
    <w:rsid w:val="001F0224"/>
    <w:pPr>
      <w:tabs>
        <w:tab w:val="center" w:pos="4513"/>
        <w:tab w:val="right" w:pos="9026"/>
      </w:tabs>
    </w:pPr>
  </w:style>
  <w:style w:type="character" w:customStyle="1" w:styleId="FooterChar">
    <w:name w:val="Footer Char"/>
    <w:basedOn w:val="DefaultParagraphFont"/>
    <w:link w:val="Footer"/>
    <w:uiPriority w:val="99"/>
    <w:rsid w:val="001F0224"/>
  </w:style>
  <w:style w:type="paragraph" w:styleId="ListParagraph">
    <w:name w:val="List Paragraph"/>
    <w:basedOn w:val="Normal"/>
    <w:uiPriority w:val="34"/>
    <w:qFormat/>
    <w:rsid w:val="00E54DED"/>
    <w:pPr>
      <w:ind w:left="720"/>
      <w:contextualSpacing/>
    </w:pPr>
  </w:style>
  <w:style w:type="table" w:styleId="TableGrid">
    <w:name w:val="Table Grid"/>
    <w:basedOn w:val="TableNormal"/>
    <w:uiPriority w:val="99"/>
    <w:rsid w:val="008F4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link w:val="textChar"/>
    <w:qFormat/>
    <w:rsid w:val="002E2870"/>
    <w:pPr>
      <w:autoSpaceDE w:val="0"/>
      <w:autoSpaceDN w:val="0"/>
      <w:adjustRightInd w:val="0"/>
      <w:spacing w:before="60" w:after="60" w:line="240" w:lineRule="auto"/>
    </w:pPr>
    <w:rPr>
      <w:rFonts w:asciiTheme="minorHAnsi" w:hAnsiTheme="minorHAnsi" w:cs="Arial"/>
      <w:color w:val="000000" w:themeColor="text1"/>
      <w:sz w:val="24"/>
      <w:szCs w:val="24"/>
    </w:rPr>
  </w:style>
  <w:style w:type="character" w:customStyle="1" w:styleId="textChar">
    <w:name w:val="text Char"/>
    <w:basedOn w:val="DefaultParagraphFont"/>
    <w:link w:val="text"/>
    <w:rsid w:val="002E2870"/>
    <w:rPr>
      <w:rFonts w:cs="Arial"/>
      <w:color w:val="000000" w:themeColor="text1"/>
      <w:sz w:val="24"/>
      <w:szCs w:val="24"/>
    </w:rPr>
  </w:style>
  <w:style w:type="paragraph" w:customStyle="1" w:styleId="Default">
    <w:name w:val="Default"/>
    <w:rsid w:val="00983A03"/>
    <w:pPr>
      <w:autoSpaceDE w:val="0"/>
      <w:autoSpaceDN w:val="0"/>
      <w:adjustRightInd w:val="0"/>
    </w:pPr>
    <w:rPr>
      <w:rFonts w:ascii="Calibri" w:hAnsi="Calibri" w:cs="Calibri"/>
      <w:color w:val="000000"/>
      <w:sz w:val="24"/>
      <w:szCs w:val="24"/>
    </w:rPr>
  </w:style>
  <w:style w:type="character" w:customStyle="1" w:styleId="jrnl">
    <w:name w:val="jrnl"/>
    <w:basedOn w:val="DefaultParagraphFont"/>
    <w:rsid w:val="00AE1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207694">
      <w:bodyDiv w:val="1"/>
      <w:marLeft w:val="0"/>
      <w:marRight w:val="0"/>
      <w:marTop w:val="0"/>
      <w:marBottom w:val="0"/>
      <w:divBdr>
        <w:top w:val="none" w:sz="0" w:space="0" w:color="auto"/>
        <w:left w:val="none" w:sz="0" w:space="0" w:color="auto"/>
        <w:bottom w:val="none" w:sz="0" w:space="0" w:color="auto"/>
        <w:right w:val="none" w:sz="0" w:space="0" w:color="auto"/>
      </w:divBdr>
      <w:divsChild>
        <w:div w:id="354115304">
          <w:marLeft w:val="547"/>
          <w:marRight w:val="0"/>
          <w:marTop w:val="40"/>
          <w:marBottom w:val="0"/>
          <w:divBdr>
            <w:top w:val="none" w:sz="0" w:space="0" w:color="auto"/>
            <w:left w:val="none" w:sz="0" w:space="0" w:color="auto"/>
            <w:bottom w:val="none" w:sz="0" w:space="0" w:color="auto"/>
            <w:right w:val="none" w:sz="0" w:space="0" w:color="auto"/>
          </w:divBdr>
        </w:div>
        <w:div w:id="1628513954">
          <w:marLeft w:val="1555"/>
          <w:marRight w:val="0"/>
          <w:marTop w:val="40"/>
          <w:marBottom w:val="0"/>
          <w:divBdr>
            <w:top w:val="none" w:sz="0" w:space="0" w:color="auto"/>
            <w:left w:val="none" w:sz="0" w:space="0" w:color="auto"/>
            <w:bottom w:val="none" w:sz="0" w:space="0" w:color="auto"/>
            <w:right w:val="none" w:sz="0" w:space="0" w:color="auto"/>
          </w:divBdr>
        </w:div>
        <w:div w:id="874344218">
          <w:marLeft w:val="1555"/>
          <w:marRight w:val="0"/>
          <w:marTop w:val="40"/>
          <w:marBottom w:val="0"/>
          <w:divBdr>
            <w:top w:val="none" w:sz="0" w:space="0" w:color="auto"/>
            <w:left w:val="none" w:sz="0" w:space="0" w:color="auto"/>
            <w:bottom w:val="none" w:sz="0" w:space="0" w:color="auto"/>
            <w:right w:val="none" w:sz="0" w:space="0" w:color="auto"/>
          </w:divBdr>
        </w:div>
        <w:div w:id="1246644106">
          <w:marLeft w:val="547"/>
          <w:marRight w:val="0"/>
          <w:marTop w:val="40"/>
          <w:marBottom w:val="0"/>
          <w:divBdr>
            <w:top w:val="none" w:sz="0" w:space="0" w:color="auto"/>
            <w:left w:val="none" w:sz="0" w:space="0" w:color="auto"/>
            <w:bottom w:val="none" w:sz="0" w:space="0" w:color="auto"/>
            <w:right w:val="none" w:sz="0" w:space="0" w:color="auto"/>
          </w:divBdr>
        </w:div>
        <w:div w:id="1105883916">
          <w:marLeft w:val="1382"/>
          <w:marRight w:val="0"/>
          <w:marTop w:val="40"/>
          <w:marBottom w:val="0"/>
          <w:divBdr>
            <w:top w:val="none" w:sz="0" w:space="0" w:color="auto"/>
            <w:left w:val="none" w:sz="0" w:space="0" w:color="auto"/>
            <w:bottom w:val="none" w:sz="0" w:space="0" w:color="auto"/>
            <w:right w:val="none" w:sz="0" w:space="0" w:color="auto"/>
          </w:divBdr>
        </w:div>
        <w:div w:id="1016540189">
          <w:marLeft w:val="1382"/>
          <w:marRight w:val="0"/>
          <w:marTop w:val="40"/>
          <w:marBottom w:val="0"/>
          <w:divBdr>
            <w:top w:val="none" w:sz="0" w:space="0" w:color="auto"/>
            <w:left w:val="none" w:sz="0" w:space="0" w:color="auto"/>
            <w:bottom w:val="none" w:sz="0" w:space="0" w:color="auto"/>
            <w:right w:val="none" w:sz="0" w:space="0" w:color="auto"/>
          </w:divBdr>
        </w:div>
        <w:div w:id="1073164355">
          <w:marLeft w:val="1382"/>
          <w:marRight w:val="0"/>
          <w:marTop w:val="40"/>
          <w:marBottom w:val="0"/>
          <w:divBdr>
            <w:top w:val="none" w:sz="0" w:space="0" w:color="auto"/>
            <w:left w:val="none" w:sz="0" w:space="0" w:color="auto"/>
            <w:bottom w:val="none" w:sz="0" w:space="0" w:color="auto"/>
            <w:right w:val="none" w:sz="0" w:space="0" w:color="auto"/>
          </w:divBdr>
        </w:div>
        <w:div w:id="1837375819">
          <w:marLeft w:val="547"/>
          <w:marRight w:val="0"/>
          <w:marTop w:val="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2644</Words>
  <Characters>15073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Gloucestershire NHS</Company>
  <LinksUpToDate>false</LinksUpToDate>
  <CharactersWithSpaces>17682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ITC-JG</dc:creator>
  <cp:lastModifiedBy>LEECH, Catherine (NHS GLOUCESTERSHIRE ICB - 11M)</cp:lastModifiedBy>
  <cp:revision>4</cp:revision>
  <dcterms:created xsi:type="dcterms:W3CDTF">2023-03-24T11:27:00Z</dcterms:created>
  <dcterms:modified xsi:type="dcterms:W3CDTF">2023-03-24T14:03:00Z</dcterms:modified>
</cp:coreProperties>
</file>