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05A7" w14:textId="77777777" w:rsidR="001A0D29" w:rsidRDefault="001A0D29" w:rsidP="001A0D29">
      <w:pPr>
        <w:pStyle w:val="Heading2"/>
        <w:jc w:val="center"/>
      </w:pPr>
      <w:bookmarkStart w:id="0" w:name="_Toc153811106"/>
      <w:r>
        <w:t>Gloucestershire Integrated Care System</w:t>
      </w:r>
    </w:p>
    <w:p w14:paraId="7D1AA909" w14:textId="3739D0A0" w:rsidR="001A0D29" w:rsidRDefault="001A0D29" w:rsidP="001A0D29">
      <w:pPr>
        <w:pStyle w:val="Heading2"/>
        <w:jc w:val="center"/>
      </w:pPr>
      <w:r>
        <w:t>J</w:t>
      </w:r>
      <w:r w:rsidRPr="00717A90">
        <w:t xml:space="preserve">oint </w:t>
      </w:r>
      <w:r>
        <w:t>c</w:t>
      </w:r>
      <w:r w:rsidRPr="00717A90">
        <w:t xml:space="preserve">apital </w:t>
      </w:r>
      <w:r>
        <w:t>r</w:t>
      </w:r>
      <w:r w:rsidRPr="00717A90">
        <w:t xml:space="preserve">esource </w:t>
      </w:r>
      <w:r>
        <w:t>use p</w:t>
      </w:r>
      <w:r w:rsidRPr="00717A90">
        <w:t>lan</w:t>
      </w:r>
      <w:r>
        <w:t xml:space="preserve"> </w:t>
      </w:r>
      <w:r w:rsidRPr="00717A90">
        <w:t>202</w:t>
      </w:r>
      <w:bookmarkEnd w:id="0"/>
      <w:r w:rsidR="003D059C">
        <w:t>5/26</w:t>
      </w:r>
    </w:p>
    <w:p w14:paraId="575FBBCF" w14:textId="500E63C4" w:rsidR="001A0D29" w:rsidRPr="001A0D29" w:rsidRDefault="001A0D29" w:rsidP="001A0D29"/>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5"/>
        <w:gridCol w:w="1269"/>
        <w:gridCol w:w="1817"/>
        <w:gridCol w:w="1273"/>
        <w:gridCol w:w="1266"/>
        <w:gridCol w:w="1284"/>
      </w:tblGrid>
      <w:tr w:rsidR="001A0D29" w:rsidRPr="001A0D29" w14:paraId="14277C2D" w14:textId="77777777" w:rsidTr="001A0D29">
        <w:trPr>
          <w:trHeight w:val="475"/>
        </w:trPr>
        <w:tc>
          <w:tcPr>
            <w:tcW w:w="2945" w:type="dxa"/>
            <w:shd w:val="clear" w:color="auto" w:fill="0070C0"/>
            <w:vAlign w:val="center"/>
          </w:tcPr>
          <w:p w14:paraId="4820996A" w14:textId="378F1FD7" w:rsidR="0055353C" w:rsidRPr="003D059C" w:rsidRDefault="00DC71C6" w:rsidP="00B53BA6">
            <w:pPr>
              <w:rPr>
                <w:rFonts w:cs="Arial"/>
                <w:b/>
                <w:bCs/>
                <w:color w:val="FFFFFF" w:themeColor="text1"/>
              </w:rPr>
            </w:pPr>
            <w:r w:rsidRPr="003D059C">
              <w:rPr>
                <w:rFonts w:cs="Arial"/>
                <w:b/>
                <w:bCs/>
                <w:color w:val="FFFFFF" w:themeColor="text1"/>
              </w:rPr>
              <w:t>Region</w:t>
            </w:r>
          </w:p>
        </w:tc>
        <w:sdt>
          <w:sdtPr>
            <w:rPr>
              <w:rFonts w:cs="Arial"/>
              <w:b/>
              <w:bCs/>
              <w:color w:val="231F20" w:themeColor="background1"/>
            </w:rPr>
            <w:alias w:val="REGION"/>
            <w:tag w:val="REGION"/>
            <w:id w:val="-1480458433"/>
            <w:placeholder>
              <w:docPart w:val="711F581DAB9B4D6F8A3C88035651830D"/>
            </w:placeholder>
            <w:dropDownList>
              <w:listItem w:value="Choose an item."/>
              <w:listItem w:displayText="North East &amp; Yorkshire" w:value="North East &amp; Yorkshire"/>
              <w:listItem w:displayText="South East" w:value="South East"/>
              <w:listItem w:displayText="South West" w:value="South West"/>
              <w:listItem w:displayText="London" w:value="London"/>
              <w:listItem w:displayText="Midlands" w:value="Midlands"/>
              <w:listItem w:displayText="East of England" w:value="East of England"/>
              <w:listItem w:displayText="North West" w:value="North West"/>
            </w:dropDownList>
          </w:sdtPr>
          <w:sdtEndPr/>
          <w:sdtContent>
            <w:tc>
              <w:tcPr>
                <w:tcW w:w="6909" w:type="dxa"/>
                <w:gridSpan w:val="5"/>
                <w:vAlign w:val="center"/>
              </w:tcPr>
              <w:p w14:paraId="25AA5FBC" w14:textId="343FC04A" w:rsidR="0055353C" w:rsidRPr="003D059C" w:rsidRDefault="003D059C" w:rsidP="00B53BA6">
                <w:pPr>
                  <w:rPr>
                    <w:rFonts w:cs="Arial"/>
                    <w:b/>
                    <w:bCs/>
                    <w:color w:val="231F20" w:themeColor="background1"/>
                  </w:rPr>
                </w:pPr>
                <w:r w:rsidRPr="003D059C">
                  <w:rPr>
                    <w:rFonts w:cs="Arial"/>
                    <w:b/>
                    <w:bCs/>
                    <w:color w:val="231F20" w:themeColor="background1"/>
                  </w:rPr>
                  <w:t>South West</w:t>
                </w:r>
              </w:p>
            </w:tc>
          </w:sdtContent>
        </w:sdt>
      </w:tr>
      <w:tr w:rsidR="001A0D29" w:rsidRPr="001A0D29" w14:paraId="39450205" w14:textId="77777777" w:rsidTr="001A0D29">
        <w:trPr>
          <w:trHeight w:val="411"/>
        </w:trPr>
        <w:tc>
          <w:tcPr>
            <w:tcW w:w="2945" w:type="dxa"/>
            <w:shd w:val="clear" w:color="auto" w:fill="0070C0"/>
            <w:vAlign w:val="center"/>
          </w:tcPr>
          <w:p w14:paraId="7FF6CE6F" w14:textId="77777777" w:rsidR="0055353C" w:rsidRPr="003D059C" w:rsidRDefault="0055353C" w:rsidP="00B53BA6">
            <w:pPr>
              <w:rPr>
                <w:rFonts w:cs="Arial"/>
                <w:b/>
                <w:bCs/>
                <w:color w:val="FFFFFF" w:themeColor="text1"/>
              </w:rPr>
            </w:pPr>
            <w:r w:rsidRPr="003D059C">
              <w:rPr>
                <w:rFonts w:cs="Arial"/>
                <w:b/>
                <w:bCs/>
                <w:color w:val="FFFFFF" w:themeColor="text1"/>
              </w:rPr>
              <w:t>Date published</w:t>
            </w:r>
          </w:p>
        </w:tc>
        <w:tc>
          <w:tcPr>
            <w:tcW w:w="6909" w:type="dxa"/>
            <w:gridSpan w:val="5"/>
            <w:vAlign w:val="center"/>
          </w:tcPr>
          <w:p w14:paraId="3A5A6798" w14:textId="77777777" w:rsidR="0055353C" w:rsidRPr="003D059C" w:rsidRDefault="0055353C" w:rsidP="00B53BA6">
            <w:pPr>
              <w:rPr>
                <w:rFonts w:cs="Arial"/>
                <w:b/>
                <w:bCs/>
                <w:color w:val="231F20" w:themeColor="background1"/>
              </w:rPr>
            </w:pPr>
          </w:p>
        </w:tc>
      </w:tr>
      <w:tr w:rsidR="001A0D29" w:rsidRPr="001A0D29" w14:paraId="505D34B9" w14:textId="77777777" w:rsidTr="001A0D29">
        <w:trPr>
          <w:trHeight w:val="219"/>
        </w:trPr>
        <w:tc>
          <w:tcPr>
            <w:tcW w:w="2945" w:type="dxa"/>
            <w:shd w:val="clear" w:color="auto" w:fill="0070C0"/>
            <w:vAlign w:val="center"/>
          </w:tcPr>
          <w:p w14:paraId="276B3E74" w14:textId="3624BAD4" w:rsidR="0055353C" w:rsidRPr="003D059C" w:rsidRDefault="0055353C" w:rsidP="00B53BA6">
            <w:pPr>
              <w:rPr>
                <w:rFonts w:cs="Arial"/>
                <w:b/>
                <w:bCs/>
                <w:color w:val="FFFFFF" w:themeColor="text1"/>
              </w:rPr>
            </w:pPr>
            <w:r w:rsidRPr="003D059C">
              <w:rPr>
                <w:rFonts w:cs="Arial"/>
                <w:b/>
                <w:bCs/>
                <w:color w:val="FFFFFF" w:themeColor="text1"/>
              </w:rPr>
              <w:t>Version</w:t>
            </w:r>
            <w:r w:rsidR="0064203F" w:rsidRPr="003D059C">
              <w:rPr>
                <w:rFonts w:cs="Arial"/>
                <w:b/>
                <w:bCs/>
                <w:color w:val="FFFFFF" w:themeColor="text1"/>
              </w:rPr>
              <w:t xml:space="preserve"> </w:t>
            </w:r>
            <w:r w:rsidR="00F52B98" w:rsidRPr="003D059C">
              <w:rPr>
                <w:rFonts w:cs="Arial"/>
                <w:b/>
                <w:bCs/>
                <w:color w:val="FFFFFF" w:themeColor="text1"/>
              </w:rPr>
              <w:t>control</w:t>
            </w:r>
          </w:p>
        </w:tc>
        <w:tc>
          <w:tcPr>
            <w:tcW w:w="6909" w:type="dxa"/>
            <w:gridSpan w:val="5"/>
            <w:vAlign w:val="center"/>
          </w:tcPr>
          <w:p w14:paraId="5847AA4D" w14:textId="77777777" w:rsidR="0055353C" w:rsidRPr="003D059C" w:rsidRDefault="0055353C" w:rsidP="00B53BA6">
            <w:pPr>
              <w:rPr>
                <w:rFonts w:cs="Arial"/>
                <w:b/>
                <w:bCs/>
                <w:color w:val="231F20" w:themeColor="background1"/>
              </w:rPr>
            </w:pPr>
          </w:p>
        </w:tc>
      </w:tr>
      <w:tr w:rsidR="001A0D29" w:rsidRPr="001A0D29" w14:paraId="7FA149D2" w14:textId="77777777" w:rsidTr="001A0D29">
        <w:trPr>
          <w:trHeight w:val="219"/>
        </w:trPr>
        <w:tc>
          <w:tcPr>
            <w:tcW w:w="2945" w:type="dxa"/>
            <w:shd w:val="clear" w:color="auto" w:fill="0070C0"/>
            <w:vAlign w:val="center"/>
          </w:tcPr>
          <w:p w14:paraId="4CF87A91" w14:textId="762B6404" w:rsidR="0064203F" w:rsidRPr="003D059C" w:rsidRDefault="0064203F" w:rsidP="00B53BA6">
            <w:pPr>
              <w:rPr>
                <w:rFonts w:cs="Arial"/>
                <w:b/>
                <w:bCs/>
                <w:color w:val="FFFFFF" w:themeColor="text1"/>
              </w:rPr>
            </w:pPr>
            <w:r w:rsidRPr="003D059C">
              <w:rPr>
                <w:rFonts w:cs="Arial"/>
                <w:b/>
                <w:bCs/>
                <w:color w:val="FFFFFF" w:themeColor="text1"/>
              </w:rPr>
              <w:t>Version</w:t>
            </w:r>
          </w:p>
        </w:tc>
        <w:tc>
          <w:tcPr>
            <w:tcW w:w="1269" w:type="dxa"/>
            <w:vAlign w:val="center"/>
          </w:tcPr>
          <w:p w14:paraId="77E906DE" w14:textId="433C019C" w:rsidR="0064203F" w:rsidRPr="003D059C" w:rsidRDefault="0064203F" w:rsidP="00B53BA6">
            <w:pPr>
              <w:rPr>
                <w:rFonts w:cs="Arial"/>
                <w:color w:val="231F20" w:themeColor="background1"/>
              </w:rPr>
            </w:pPr>
            <w:r w:rsidRPr="003D059C">
              <w:rPr>
                <w:rFonts w:cs="Arial"/>
                <w:color w:val="231F20" w:themeColor="background1"/>
              </w:rPr>
              <w:t>Date issued</w:t>
            </w:r>
          </w:p>
        </w:tc>
        <w:tc>
          <w:tcPr>
            <w:tcW w:w="1817" w:type="dxa"/>
            <w:vAlign w:val="center"/>
          </w:tcPr>
          <w:p w14:paraId="41B9599A" w14:textId="665392B7" w:rsidR="0064203F" w:rsidRPr="003D059C" w:rsidRDefault="0064203F" w:rsidP="00B53BA6">
            <w:pPr>
              <w:rPr>
                <w:rFonts w:cs="Arial"/>
                <w:color w:val="231F20" w:themeColor="background1"/>
              </w:rPr>
            </w:pPr>
            <w:r w:rsidRPr="003D059C">
              <w:rPr>
                <w:rFonts w:cs="Arial"/>
                <w:color w:val="231F20" w:themeColor="background1"/>
              </w:rPr>
              <w:t>Who/Comment</w:t>
            </w:r>
          </w:p>
        </w:tc>
        <w:tc>
          <w:tcPr>
            <w:tcW w:w="1273" w:type="dxa"/>
            <w:vAlign w:val="center"/>
          </w:tcPr>
          <w:p w14:paraId="7EAF3299" w14:textId="371FA82B" w:rsidR="0064203F" w:rsidRPr="003D059C" w:rsidRDefault="0064203F" w:rsidP="00B53BA6">
            <w:pPr>
              <w:rPr>
                <w:rFonts w:cs="Arial"/>
                <w:color w:val="231F20" w:themeColor="background1"/>
              </w:rPr>
            </w:pPr>
            <w:r w:rsidRPr="003D059C">
              <w:rPr>
                <w:rFonts w:cs="Arial"/>
                <w:color w:val="231F20" w:themeColor="background1"/>
              </w:rPr>
              <w:t>Updated by</w:t>
            </w:r>
          </w:p>
        </w:tc>
        <w:tc>
          <w:tcPr>
            <w:tcW w:w="1266" w:type="dxa"/>
            <w:vAlign w:val="center"/>
          </w:tcPr>
          <w:p w14:paraId="223506A1" w14:textId="481842A6" w:rsidR="0064203F" w:rsidRPr="003D059C" w:rsidRDefault="0064203F" w:rsidP="00B53BA6">
            <w:pPr>
              <w:rPr>
                <w:rFonts w:cs="Arial"/>
                <w:color w:val="231F20" w:themeColor="background1"/>
              </w:rPr>
            </w:pPr>
            <w:r w:rsidRPr="003D059C">
              <w:rPr>
                <w:rFonts w:cs="Arial"/>
                <w:color w:val="231F20" w:themeColor="background1"/>
              </w:rPr>
              <w:t>Sign off</w:t>
            </w:r>
          </w:p>
        </w:tc>
        <w:tc>
          <w:tcPr>
            <w:tcW w:w="1284" w:type="dxa"/>
            <w:vAlign w:val="center"/>
          </w:tcPr>
          <w:p w14:paraId="7382E53D" w14:textId="767351B3" w:rsidR="0064203F" w:rsidRPr="003D059C" w:rsidRDefault="0064203F" w:rsidP="00B53BA6">
            <w:pPr>
              <w:rPr>
                <w:rFonts w:cs="Arial"/>
                <w:color w:val="231F20" w:themeColor="background1"/>
              </w:rPr>
            </w:pPr>
            <w:r w:rsidRPr="003D059C">
              <w:rPr>
                <w:rFonts w:cs="Arial"/>
                <w:color w:val="231F20" w:themeColor="background1"/>
              </w:rPr>
              <w:t>Approvals</w:t>
            </w:r>
          </w:p>
        </w:tc>
      </w:tr>
    </w:tbl>
    <w:p w14:paraId="22BC7480" w14:textId="77777777" w:rsidR="0055353C" w:rsidRPr="007A2C46" w:rsidRDefault="0055353C" w:rsidP="0055353C"/>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54"/>
      </w:tblGrid>
      <w:tr w:rsidR="00DE2C6E" w:rsidRPr="007A2C46" w14:paraId="284BD104" w14:textId="77777777" w:rsidTr="002E7915">
        <w:trPr>
          <w:trHeight w:val="605"/>
        </w:trPr>
        <w:tc>
          <w:tcPr>
            <w:tcW w:w="9351" w:type="dxa"/>
            <w:shd w:val="clear" w:color="auto" w:fill="0070C0"/>
            <w:vAlign w:val="center"/>
          </w:tcPr>
          <w:p w14:paraId="32CE1D6E" w14:textId="77777777" w:rsidR="0055353C" w:rsidRPr="007A2C46" w:rsidRDefault="0055353C" w:rsidP="00B53BA6">
            <w:pPr>
              <w:rPr>
                <w:rFonts w:cs="Arial"/>
                <w:i/>
                <w:iCs/>
                <w:color w:val="FFFFFF" w:themeColor="text1"/>
                <w:sz w:val="18"/>
                <w:szCs w:val="18"/>
              </w:rPr>
            </w:pPr>
            <w:r w:rsidRPr="007A2C46">
              <w:rPr>
                <w:rFonts w:cs="Arial"/>
                <w:b/>
                <w:bCs/>
                <w:color w:val="FFFFFF" w:themeColor="text1"/>
              </w:rPr>
              <w:t>Introduction</w:t>
            </w:r>
          </w:p>
        </w:tc>
      </w:tr>
      <w:tr w:rsidR="00DE2C6E" w:rsidRPr="007A2C46" w14:paraId="5E45CAD3" w14:textId="77777777" w:rsidTr="002E7915">
        <w:trPr>
          <w:trHeight w:val="2169"/>
        </w:trPr>
        <w:tc>
          <w:tcPr>
            <w:tcW w:w="9351" w:type="dxa"/>
            <w:shd w:val="clear" w:color="auto" w:fill="auto"/>
          </w:tcPr>
          <w:p w14:paraId="319B4CB4" w14:textId="77777777" w:rsidR="001A0D29" w:rsidRPr="00800B37" w:rsidRDefault="001A0D29" w:rsidP="001A0D29">
            <w:pPr>
              <w:rPr>
                <w:rFonts w:cs="Arial"/>
              </w:rPr>
            </w:pPr>
            <w:r w:rsidRPr="00800B37">
              <w:rPr>
                <w:rFonts w:cs="Arial"/>
              </w:rPr>
              <w:t>Parliament and Treasury set the Department of Health and Social Care (DHSC) a limit for how much capital it can spend. Capital spending covers long-term spend such as new buildings, equipment and technology. It doesn’t include spending such as staff costs or medicines (which is classed as revenue).</w:t>
            </w:r>
          </w:p>
          <w:p w14:paraId="2DDA74ED" w14:textId="77777777" w:rsidR="001A0D29" w:rsidRPr="00800B37" w:rsidRDefault="001A0D29" w:rsidP="001A0D29">
            <w:pPr>
              <w:rPr>
                <w:rFonts w:cs="Arial"/>
              </w:rPr>
            </w:pPr>
            <w:r w:rsidRPr="00800B37">
              <w:rPr>
                <w:rFonts w:cs="Arial"/>
              </w:rPr>
              <w:t>This budget limit, called the capital departmental expenditure limit (CDEL), covers all capital spending by the Department and the NHS.  The Department and the NHS are legally obliged not to spend above this limit.  A major part of the NHS capital is allocated to Integrated Care Systems and Systems prioritise this capital to develop a System plan with the majority going towards NHS Foundation Trusts and a small amount for General Practice requirements (covering information technology and minor improvement grants</w:t>
            </w:r>
            <w:r>
              <w:rPr>
                <w:rFonts w:cs="Arial"/>
              </w:rPr>
              <w:t>)</w:t>
            </w:r>
            <w:r w:rsidRPr="00800B37">
              <w:rPr>
                <w:rFonts w:cs="Arial"/>
              </w:rPr>
              <w:t xml:space="preserve">.  Planning </w:t>
            </w:r>
            <w:proofErr w:type="gramStart"/>
            <w:r w:rsidRPr="00800B37">
              <w:rPr>
                <w:rFonts w:cs="Arial"/>
              </w:rPr>
              <w:t>takes into account</w:t>
            </w:r>
            <w:proofErr w:type="gramEnd"/>
            <w:r w:rsidRPr="00800B37">
              <w:rPr>
                <w:rFonts w:cs="Arial"/>
              </w:rPr>
              <w:t xml:space="preserve"> the need to upgrade estates, replace medical equipment and information technology equipment plus the strategic objectives for the System.</w:t>
            </w:r>
          </w:p>
          <w:p w14:paraId="30C47247" w14:textId="652EF582" w:rsidR="001A0D29" w:rsidRDefault="001A0D29" w:rsidP="001A0D29">
            <w:r>
              <w:t>Gloucestershire Integrated Care System is one of the smaller and less complex ICSs in the country.  We are coterminous with our Local Authority: Gloucestershire County Council, have one Acute Hospital, Gloucestershire Hospitals’ Foundation Trust (operating across two sites in Gloucester City and Cheltenham), one Community and Mental Health services provider, Gloucestershire Health &amp; Care Foundation Trust (GHC).</w:t>
            </w:r>
          </w:p>
          <w:p w14:paraId="7B60E0E3" w14:textId="698E341B" w:rsidR="001A0D29" w:rsidRDefault="001A0D29" w:rsidP="001A0D29">
            <w:r>
              <w:lastRenderedPageBreak/>
              <w:t xml:space="preserve">This lays a foundation for close collaborative working to serve the Gloucestershire population of </w:t>
            </w:r>
            <w:r w:rsidRPr="003D059C">
              <w:rPr>
                <w:color w:val="231F20" w:themeColor="background1"/>
              </w:rPr>
              <w:t>over 6</w:t>
            </w:r>
            <w:r w:rsidR="003D059C" w:rsidRPr="003D059C">
              <w:rPr>
                <w:color w:val="231F20" w:themeColor="background1"/>
              </w:rPr>
              <w:t>98</w:t>
            </w:r>
            <w:r w:rsidRPr="003D059C">
              <w:rPr>
                <w:color w:val="231F20" w:themeColor="background1"/>
              </w:rPr>
              <w:t xml:space="preserve">,000 people </w:t>
            </w:r>
            <w:r w:rsidRPr="00971C24">
              <w:rPr>
                <w:color w:val="231F20" w:themeColor="background1"/>
              </w:rPr>
              <w:t>expected to rise to 7</w:t>
            </w:r>
            <w:r w:rsidR="00971C24" w:rsidRPr="00971C24">
              <w:rPr>
                <w:color w:val="231F20" w:themeColor="background1"/>
              </w:rPr>
              <w:t>28</w:t>
            </w:r>
            <w:r w:rsidRPr="00971C24">
              <w:rPr>
                <w:color w:val="231F20" w:themeColor="background1"/>
              </w:rPr>
              <w:t>,</w:t>
            </w:r>
            <w:r w:rsidR="00971C24" w:rsidRPr="00971C24">
              <w:rPr>
                <w:color w:val="231F20" w:themeColor="background1"/>
              </w:rPr>
              <w:t>030</w:t>
            </w:r>
            <w:r w:rsidRPr="00971C24">
              <w:rPr>
                <w:color w:val="231F20" w:themeColor="background1"/>
              </w:rPr>
              <w:t xml:space="preserve"> by 2030. Like </w:t>
            </w:r>
            <w:r>
              <w:t xml:space="preserve">many systems we have </w:t>
            </w:r>
            <w:proofErr w:type="gramStart"/>
            <w:r>
              <w:t>a number of</w:t>
            </w:r>
            <w:proofErr w:type="gramEnd"/>
            <w:r>
              <w:t xml:space="preserve"> demographic challenges. </w:t>
            </w:r>
          </w:p>
          <w:tbl>
            <w:tblPr>
              <w:tblStyle w:val="TableGrid"/>
              <w:tblW w:w="9776" w:type="dxa"/>
              <w:shd w:val="clear" w:color="auto" w:fill="B4CEFF" w:themeFill="accent1" w:themeFillTint="33"/>
              <w:tblLook w:val="04A0" w:firstRow="1" w:lastRow="0" w:firstColumn="1" w:lastColumn="0" w:noHBand="0" w:noVBand="1"/>
            </w:tblPr>
            <w:tblGrid>
              <w:gridCol w:w="5098"/>
              <w:gridCol w:w="4678"/>
            </w:tblGrid>
            <w:tr w:rsidR="002916EE" w14:paraId="2B2DA7A5" w14:textId="77777777" w:rsidTr="00550AB7">
              <w:tc>
                <w:tcPr>
                  <w:tcW w:w="9776" w:type="dxa"/>
                  <w:gridSpan w:val="2"/>
                  <w:shd w:val="clear" w:color="auto" w:fill="B4CEFF" w:themeFill="accent1" w:themeFillTint="33"/>
                </w:tcPr>
                <w:p w14:paraId="1E793687" w14:textId="77777777" w:rsidR="002916EE" w:rsidRPr="001E2AFF" w:rsidRDefault="002916EE" w:rsidP="002916EE">
                  <w:pPr>
                    <w:ind w:right="-425"/>
                    <w:rPr>
                      <w:rFonts w:cs="Arial"/>
                      <w:b/>
                      <w:bCs/>
                    </w:rPr>
                  </w:pPr>
                  <w:r w:rsidRPr="001E2AFF">
                    <w:rPr>
                      <w:rFonts w:cs="Arial"/>
                      <w:b/>
                      <w:bCs/>
                    </w:rPr>
                    <w:t>About health and care services in Gloucestershire</w:t>
                  </w:r>
                </w:p>
              </w:tc>
            </w:tr>
            <w:tr w:rsidR="002916EE" w14:paraId="1AFBAA33" w14:textId="77777777" w:rsidTr="00550AB7">
              <w:tc>
                <w:tcPr>
                  <w:tcW w:w="5098" w:type="dxa"/>
                  <w:shd w:val="clear" w:color="auto" w:fill="B4CEFF" w:themeFill="accent1" w:themeFillTint="33"/>
                </w:tcPr>
                <w:p w14:paraId="11852D2D" w14:textId="0F8BD64D" w:rsidR="002916EE" w:rsidRPr="00850C90" w:rsidRDefault="002916EE" w:rsidP="002916EE">
                  <w:pPr>
                    <w:pStyle w:val="ListParagraph"/>
                    <w:numPr>
                      <w:ilvl w:val="0"/>
                      <w:numId w:val="27"/>
                    </w:numPr>
                    <w:spacing w:after="160" w:line="259" w:lineRule="auto"/>
                    <w:ind w:left="165" w:right="159" w:hanging="165"/>
                    <w:contextualSpacing/>
                    <w:textboxTightWrap w:val="none"/>
                    <w:rPr>
                      <w:rFonts w:cs="Arial"/>
                    </w:rPr>
                  </w:pPr>
                  <w:r>
                    <w:rPr>
                      <w:rFonts w:cs="Arial"/>
                    </w:rPr>
                    <w:t xml:space="preserve">Serving </w:t>
                  </w:r>
                  <w:r w:rsidRPr="003D059C">
                    <w:rPr>
                      <w:rFonts w:cs="Arial"/>
                    </w:rPr>
                    <w:t>6</w:t>
                  </w:r>
                  <w:r w:rsidR="003D059C">
                    <w:rPr>
                      <w:rFonts w:cs="Arial"/>
                    </w:rPr>
                    <w:t>98,761</w:t>
                  </w:r>
                  <w:r>
                    <w:rPr>
                      <w:rFonts w:cs="Arial"/>
                    </w:rPr>
                    <w:t xml:space="preserve"> people, projected to rise to </w:t>
                  </w:r>
                  <w:r w:rsidRPr="003D059C">
                    <w:rPr>
                      <w:rFonts w:cs="Arial"/>
                    </w:rPr>
                    <w:t>7</w:t>
                  </w:r>
                  <w:r w:rsidR="003D059C">
                    <w:rPr>
                      <w:rFonts w:cs="Arial"/>
                    </w:rPr>
                    <w:t>28</w:t>
                  </w:r>
                  <w:r w:rsidRPr="003D059C">
                    <w:rPr>
                      <w:rFonts w:cs="Arial"/>
                    </w:rPr>
                    <w:t>,0</w:t>
                  </w:r>
                  <w:r w:rsidR="003D059C">
                    <w:rPr>
                      <w:rFonts w:cs="Arial"/>
                    </w:rPr>
                    <w:t>30</w:t>
                  </w:r>
                  <w:r>
                    <w:rPr>
                      <w:rFonts w:cs="Arial"/>
                    </w:rPr>
                    <w:t xml:space="preserve"> people by 2030.</w:t>
                  </w:r>
                </w:p>
                <w:p w14:paraId="3D22CEB8" w14:textId="692310AD" w:rsidR="002916EE" w:rsidRDefault="002916EE" w:rsidP="002916EE">
                  <w:pPr>
                    <w:pStyle w:val="ListParagraph"/>
                    <w:numPr>
                      <w:ilvl w:val="0"/>
                      <w:numId w:val="27"/>
                    </w:numPr>
                    <w:spacing w:after="0" w:line="240" w:lineRule="auto"/>
                    <w:ind w:left="165" w:right="159" w:hanging="165"/>
                    <w:contextualSpacing/>
                    <w:textboxTightWrap w:val="none"/>
                    <w:rPr>
                      <w:rFonts w:cs="Arial"/>
                    </w:rPr>
                  </w:pPr>
                  <w:r w:rsidRPr="003D059C">
                    <w:rPr>
                      <w:rFonts w:cs="Arial"/>
                    </w:rPr>
                    <w:t>+</w:t>
                  </w:r>
                  <w:r w:rsidR="003D059C">
                    <w:rPr>
                      <w:rFonts w:cs="Arial"/>
                    </w:rPr>
                    <w:t>30</w:t>
                  </w:r>
                  <w:r w:rsidRPr="003D059C">
                    <w:rPr>
                      <w:rFonts w:cs="Arial"/>
                    </w:rPr>
                    <w:t>,000</w:t>
                  </w:r>
                  <w:r>
                    <w:rPr>
                      <w:rFonts w:cs="Arial"/>
                    </w:rPr>
                    <w:t xml:space="preserve"> staff working in health &amp; social care.</w:t>
                  </w:r>
                </w:p>
                <w:p w14:paraId="7B614B99" w14:textId="56A87AD2" w:rsidR="002916EE" w:rsidRPr="00A0097B" w:rsidRDefault="002916EE" w:rsidP="002916EE">
                  <w:pPr>
                    <w:pStyle w:val="ListParagraph"/>
                    <w:numPr>
                      <w:ilvl w:val="0"/>
                      <w:numId w:val="27"/>
                    </w:numPr>
                    <w:spacing w:after="0" w:line="240" w:lineRule="auto"/>
                    <w:ind w:left="165" w:right="159" w:hanging="165"/>
                    <w:contextualSpacing/>
                    <w:textboxTightWrap w:val="none"/>
                    <w:rPr>
                      <w:rFonts w:cs="Arial"/>
                    </w:rPr>
                  </w:pPr>
                  <w:r>
                    <w:rPr>
                      <w:rFonts w:cs="Arial"/>
                    </w:rPr>
                    <w:t xml:space="preserve">The combined workforce includes over </w:t>
                  </w:r>
                  <w:r w:rsidR="003D059C">
                    <w:rPr>
                      <w:rFonts w:cs="Arial"/>
                    </w:rPr>
                    <w:t>14,500</w:t>
                  </w:r>
                  <w:r>
                    <w:rPr>
                      <w:rFonts w:cs="Arial"/>
                    </w:rPr>
                    <w:t xml:space="preserve"> staff providing direct care and over </w:t>
                  </w:r>
                  <w:r w:rsidR="009215A7">
                    <w:rPr>
                      <w:rFonts w:cs="Arial"/>
                    </w:rPr>
                    <w:t>7</w:t>
                  </w:r>
                  <w:r w:rsidRPr="003D059C">
                    <w:rPr>
                      <w:rFonts w:cs="Arial"/>
                    </w:rPr>
                    <w:t>,000</w:t>
                  </w:r>
                  <w:r>
                    <w:rPr>
                      <w:rFonts w:cs="Arial"/>
                    </w:rPr>
                    <w:t xml:space="preserve"> professionally qualified staff (nurses, medics and Allied Health Professionals)</w:t>
                  </w:r>
                </w:p>
                <w:p w14:paraId="5E9E15DB" w14:textId="77777777" w:rsidR="002916EE" w:rsidRPr="00437126" w:rsidRDefault="002916EE" w:rsidP="002916EE">
                  <w:pPr>
                    <w:pStyle w:val="ListParagraph"/>
                    <w:numPr>
                      <w:ilvl w:val="0"/>
                      <w:numId w:val="27"/>
                    </w:numPr>
                    <w:spacing w:after="0" w:line="240" w:lineRule="auto"/>
                    <w:ind w:left="165" w:right="159" w:hanging="165"/>
                    <w:contextualSpacing/>
                    <w:textboxTightWrap w:val="none"/>
                    <w:rPr>
                      <w:rFonts w:cs="Arial"/>
                    </w:rPr>
                  </w:pPr>
                  <w:r w:rsidRPr="00A0097B">
                    <w:rPr>
                      <w:rFonts w:cs="Arial"/>
                    </w:rPr>
                    <w:t>1 Integrated Care Board</w:t>
                  </w:r>
                </w:p>
                <w:p w14:paraId="71B95456" w14:textId="77777777" w:rsidR="002916EE" w:rsidRPr="00437126" w:rsidRDefault="002916EE" w:rsidP="002916EE">
                  <w:pPr>
                    <w:pStyle w:val="ListParagraph"/>
                    <w:numPr>
                      <w:ilvl w:val="0"/>
                      <w:numId w:val="27"/>
                    </w:numPr>
                    <w:spacing w:after="0" w:line="240" w:lineRule="auto"/>
                    <w:ind w:left="165" w:right="159" w:hanging="165"/>
                    <w:contextualSpacing/>
                    <w:textboxTightWrap w:val="none"/>
                    <w:rPr>
                      <w:rFonts w:cs="Arial"/>
                    </w:rPr>
                  </w:pPr>
                  <w:r>
                    <w:rPr>
                      <w:rFonts w:cs="Arial"/>
                    </w:rPr>
                    <w:t>1 Acute Hospital Trust (2 sites)</w:t>
                  </w:r>
                </w:p>
              </w:tc>
              <w:tc>
                <w:tcPr>
                  <w:tcW w:w="4678" w:type="dxa"/>
                  <w:shd w:val="clear" w:color="auto" w:fill="B4CEFF" w:themeFill="accent1" w:themeFillTint="33"/>
                </w:tcPr>
                <w:p w14:paraId="6DE56904" w14:textId="77777777" w:rsidR="002916EE" w:rsidRPr="00CC6BB0" w:rsidRDefault="002916EE" w:rsidP="002916EE">
                  <w:pPr>
                    <w:ind w:right="159"/>
                    <w:rPr>
                      <w:rFonts w:cs="Arial"/>
                    </w:rPr>
                  </w:pPr>
                  <w:r>
                    <w:rPr>
                      <w:rFonts w:cs="Arial"/>
                    </w:rPr>
                    <w:t xml:space="preserve">- </w:t>
                  </w:r>
                  <w:r w:rsidRPr="00CC6BB0">
                    <w:rPr>
                      <w:rFonts w:cs="Arial"/>
                    </w:rPr>
                    <w:t>1 Mental Health and Community Trust</w:t>
                  </w:r>
                </w:p>
                <w:p w14:paraId="14FAAF5F" w14:textId="77777777" w:rsidR="002916EE" w:rsidRDefault="002916EE" w:rsidP="002916EE">
                  <w:pPr>
                    <w:pStyle w:val="ListParagraph"/>
                    <w:numPr>
                      <w:ilvl w:val="0"/>
                      <w:numId w:val="27"/>
                    </w:numPr>
                    <w:spacing w:after="0" w:line="240" w:lineRule="auto"/>
                    <w:ind w:left="165" w:right="159" w:hanging="165"/>
                    <w:contextualSpacing/>
                    <w:textboxTightWrap w:val="none"/>
                    <w:rPr>
                      <w:rFonts w:cs="Arial"/>
                    </w:rPr>
                  </w:pPr>
                  <w:r w:rsidRPr="003D059C">
                    <w:rPr>
                      <w:rFonts w:cs="Arial"/>
                    </w:rPr>
                    <w:t>6</w:t>
                  </w:r>
                  <w:r>
                    <w:rPr>
                      <w:rFonts w:cs="Arial"/>
                    </w:rPr>
                    <w:t xml:space="preserve"> Integrated Locality Partnerships</w:t>
                  </w:r>
                </w:p>
                <w:p w14:paraId="70269F28" w14:textId="77777777" w:rsidR="002916EE" w:rsidRDefault="002916EE" w:rsidP="002916EE">
                  <w:pPr>
                    <w:pStyle w:val="ListParagraph"/>
                    <w:numPr>
                      <w:ilvl w:val="0"/>
                      <w:numId w:val="27"/>
                    </w:numPr>
                    <w:spacing w:after="0" w:line="240" w:lineRule="auto"/>
                    <w:ind w:left="165" w:right="159" w:hanging="165"/>
                    <w:contextualSpacing/>
                    <w:textboxTightWrap w:val="none"/>
                    <w:rPr>
                      <w:rFonts w:cs="Arial"/>
                    </w:rPr>
                  </w:pPr>
                  <w:r>
                    <w:rPr>
                      <w:rFonts w:cs="Arial"/>
                    </w:rPr>
                    <w:t>16 Primary Care Networks</w:t>
                  </w:r>
                </w:p>
                <w:p w14:paraId="14B4C4F5" w14:textId="77777777" w:rsidR="002916EE" w:rsidRDefault="002916EE" w:rsidP="002916EE">
                  <w:pPr>
                    <w:pStyle w:val="ListParagraph"/>
                    <w:numPr>
                      <w:ilvl w:val="0"/>
                      <w:numId w:val="27"/>
                    </w:numPr>
                    <w:spacing w:after="0" w:line="240" w:lineRule="auto"/>
                    <w:ind w:left="165" w:right="159" w:hanging="165"/>
                    <w:contextualSpacing/>
                    <w:textboxTightWrap w:val="none"/>
                    <w:rPr>
                      <w:rFonts w:cs="Arial"/>
                    </w:rPr>
                  </w:pPr>
                  <w:r>
                    <w:rPr>
                      <w:rFonts w:cs="Arial"/>
                    </w:rPr>
                    <w:t>64 GP Practices</w:t>
                  </w:r>
                </w:p>
                <w:p w14:paraId="75F4B58E" w14:textId="113203D3" w:rsidR="002916EE" w:rsidRDefault="002916EE" w:rsidP="002916EE">
                  <w:pPr>
                    <w:pStyle w:val="ListParagraph"/>
                    <w:numPr>
                      <w:ilvl w:val="0"/>
                      <w:numId w:val="27"/>
                    </w:numPr>
                    <w:spacing w:after="0" w:line="240" w:lineRule="auto"/>
                    <w:ind w:left="165" w:right="159" w:hanging="165"/>
                    <w:contextualSpacing/>
                    <w:textboxTightWrap w:val="none"/>
                    <w:rPr>
                      <w:rFonts w:cs="Arial"/>
                    </w:rPr>
                  </w:pPr>
                  <w:r w:rsidRPr="003D059C">
                    <w:rPr>
                      <w:rFonts w:cs="Arial"/>
                    </w:rPr>
                    <w:t>6</w:t>
                  </w:r>
                  <w:r w:rsidR="009215A7">
                    <w:rPr>
                      <w:rFonts w:cs="Arial"/>
                    </w:rPr>
                    <w:t>5</w:t>
                  </w:r>
                  <w:r>
                    <w:rPr>
                      <w:rFonts w:cs="Arial"/>
                    </w:rPr>
                    <w:t xml:space="preserve"> Dental &amp; </w:t>
                  </w:r>
                  <w:r w:rsidR="009215A7">
                    <w:rPr>
                      <w:rFonts w:cs="Arial"/>
                    </w:rPr>
                    <w:t>10</w:t>
                  </w:r>
                  <w:r>
                    <w:rPr>
                      <w:rFonts w:cs="Arial"/>
                    </w:rPr>
                    <w:t xml:space="preserve"> Orthodontist practices</w:t>
                  </w:r>
                </w:p>
                <w:p w14:paraId="5D6230EC" w14:textId="3B0623CE" w:rsidR="002916EE" w:rsidRPr="00437126" w:rsidRDefault="002916EE" w:rsidP="009215A7">
                  <w:pPr>
                    <w:pStyle w:val="ListParagraph"/>
                    <w:numPr>
                      <w:ilvl w:val="0"/>
                      <w:numId w:val="27"/>
                    </w:numPr>
                    <w:spacing w:after="0" w:line="240" w:lineRule="auto"/>
                    <w:ind w:left="165" w:right="159" w:hanging="165"/>
                    <w:contextualSpacing/>
                    <w:textboxTightWrap w:val="none"/>
                    <w:rPr>
                      <w:rFonts w:cs="Arial"/>
                    </w:rPr>
                  </w:pPr>
                  <w:r>
                    <w:rPr>
                      <w:rFonts w:cs="Arial"/>
                    </w:rPr>
                    <w:t>1 County Council with responsibility for education, public health, adult social care and children’s social care</w:t>
                  </w:r>
                </w:p>
              </w:tc>
            </w:tr>
          </w:tbl>
          <w:p w14:paraId="3519BA77" w14:textId="097D4772" w:rsidR="001A0D29" w:rsidRDefault="002916EE" w:rsidP="00B53BA6">
            <w:pPr>
              <w:rPr>
                <w:rFonts w:cs="Arial"/>
              </w:rPr>
            </w:pPr>
            <w:r>
              <w:rPr>
                <w:rFonts w:cs="Arial"/>
              </w:rPr>
              <w:t xml:space="preserve">Across Gloucestershire our population is increasing. We expect to see an </w:t>
            </w:r>
            <w:hyperlink r:id="rId11" w:history="1">
              <w:r w:rsidRPr="00750049">
                <w:rPr>
                  <w:rStyle w:val="Hyperlink"/>
                  <w:rFonts w:cs="Arial"/>
                </w:rPr>
                <w:t>8% increase</w:t>
              </w:r>
            </w:hyperlink>
            <w:r>
              <w:rPr>
                <w:rFonts w:cs="Arial"/>
              </w:rPr>
              <w:t xml:space="preserve"> in the population in the County from 2028-2043 with greatest population growth in the Cotswolds and Tewkesbury. Planned housing developments and economic growth plans over the next 20 years will also add to migration into the county.</w:t>
            </w:r>
          </w:p>
          <w:p w14:paraId="49A0CD33" w14:textId="235A836E" w:rsidR="002916EE" w:rsidRDefault="002916EE" w:rsidP="00B53BA6">
            <w:pPr>
              <w:rPr>
                <w:rFonts w:cs="Arial"/>
                <w:i/>
                <w:iCs/>
                <w:color w:val="1E6DFF" w:themeColor="accent1" w:themeTint="99"/>
              </w:rPr>
            </w:pPr>
            <w:r>
              <w:rPr>
                <w:rFonts w:cs="Arial"/>
              </w:rPr>
              <w:t xml:space="preserve">It is positive that people are living older. In Gloucestershire, </w:t>
            </w:r>
            <w:hyperlink r:id="rId12" w:history="1">
              <w:r w:rsidRPr="00FF02DD">
                <w:rPr>
                  <w:rStyle w:val="Hyperlink"/>
                  <w:rFonts w:cs="Arial"/>
                </w:rPr>
                <w:t>life expectancy at birth</w:t>
              </w:r>
            </w:hyperlink>
            <w:r>
              <w:rPr>
                <w:rFonts w:cs="Arial"/>
              </w:rPr>
              <w:t xml:space="preserve"> remains higher than the national average (80.</w:t>
            </w:r>
            <w:r w:rsidR="003D059C">
              <w:rPr>
                <w:rFonts w:cs="Arial"/>
              </w:rPr>
              <w:t>0</w:t>
            </w:r>
            <w:r>
              <w:rPr>
                <w:rFonts w:cs="Arial"/>
              </w:rPr>
              <w:t xml:space="preserve"> for males and 83.</w:t>
            </w:r>
            <w:r w:rsidR="003D059C">
              <w:rPr>
                <w:rFonts w:cs="Arial"/>
              </w:rPr>
              <w:t>8</w:t>
            </w:r>
            <w:r>
              <w:rPr>
                <w:rFonts w:cs="Arial"/>
              </w:rPr>
              <w:t xml:space="preserve"> for </w:t>
            </w:r>
            <w:r w:rsidRPr="009215A7">
              <w:rPr>
                <w:rFonts w:cs="Arial"/>
                <w:color w:val="auto"/>
              </w:rPr>
              <w:t xml:space="preserve">females: 2021-2023). </w:t>
            </w:r>
            <w:r w:rsidR="009215A7" w:rsidRPr="009215A7">
              <w:rPr>
                <w:rFonts w:cs="Arial"/>
                <w:color w:val="auto"/>
              </w:rPr>
              <w:t>This however masks variation of just under 3 years for females and 3.5 years for males between the areas with highest life expectancy (Cotswolds) and areas with the lowest (Gloucester).</w:t>
            </w:r>
          </w:p>
          <w:p w14:paraId="17C09ABF" w14:textId="653B010A" w:rsidR="002916EE" w:rsidRDefault="002916EE" w:rsidP="00B53BA6">
            <w:pPr>
              <w:rPr>
                <w:rFonts w:cs="Arial"/>
                <w:i/>
                <w:iCs/>
                <w:color w:val="1E6DFF" w:themeColor="accent1" w:themeTint="99"/>
              </w:rPr>
            </w:pPr>
            <w:r>
              <w:rPr>
                <w:rFonts w:cs="Arial"/>
              </w:rPr>
              <w:t xml:space="preserve">The highest growth in the population is amongst </w:t>
            </w:r>
            <w:hyperlink r:id="rId13" w:history="1">
              <w:r w:rsidRPr="00D74A96">
                <w:rPr>
                  <w:rStyle w:val="Hyperlink"/>
                  <w:rFonts w:cs="Arial"/>
                </w:rPr>
                <w:t>people living over the age of 65</w:t>
              </w:r>
            </w:hyperlink>
            <w:r>
              <w:rPr>
                <w:rFonts w:cs="Arial"/>
              </w:rPr>
              <w:t xml:space="preserve"> with a 52.5% growth expected between 2018 to 2043 which is higher than England (44.7%). With increasing age comes more people living with </w:t>
            </w:r>
            <w:hyperlink r:id="rId14" w:history="1">
              <w:r w:rsidRPr="003002F0">
                <w:rPr>
                  <w:rStyle w:val="Hyperlink"/>
                  <w:rFonts w:cs="Arial"/>
                </w:rPr>
                <w:t>long-term health conditions</w:t>
              </w:r>
            </w:hyperlink>
            <w:r>
              <w:rPr>
                <w:rFonts w:cs="Arial"/>
              </w:rPr>
              <w:t>. Almost 1 in 5 people in Gloucestershire (130,000) live with multiple long-term conditions (186 per 1,000 of the population) - increasing in older age (736 per 1,000 of the population for people living over 85).</w:t>
            </w:r>
          </w:p>
          <w:p w14:paraId="770D9438" w14:textId="4C60CC7D" w:rsidR="001A0D29" w:rsidRDefault="002916EE" w:rsidP="00B53BA6">
            <w:pPr>
              <w:rPr>
                <w:rFonts w:cs="Arial"/>
              </w:rPr>
            </w:pPr>
            <w:r w:rsidRPr="000C17C5">
              <w:rPr>
                <w:rFonts w:cs="Arial"/>
              </w:rPr>
              <w:t>While Gloucestershire has good outcomes compared with the rest of the country, we know that there are unfair differences in outcomes and wellbeing for different people. Our Integrated Care Strategy describes the disparity between those living in the wealthiest areas of the county and the least wealthy</w:t>
            </w:r>
            <w:r>
              <w:rPr>
                <w:rFonts w:cs="Arial"/>
              </w:rPr>
              <w:t xml:space="preserve"> </w:t>
            </w:r>
            <w:r w:rsidRPr="000C17C5">
              <w:rPr>
                <w:rFonts w:cs="Arial"/>
              </w:rPr>
              <w:t xml:space="preserve">areas of the county, amounting to an average difference of 11 years of ‘healthy life’. We want people to get the same good care and </w:t>
            </w:r>
            <w:r>
              <w:rPr>
                <w:rFonts w:cs="Arial"/>
              </w:rPr>
              <w:t>good</w:t>
            </w:r>
            <w:r w:rsidRPr="000C17C5">
              <w:rPr>
                <w:rFonts w:cs="Arial"/>
              </w:rPr>
              <w:t xml:space="preserve"> outcomes no matter who they are or where they live</w:t>
            </w:r>
            <w:r>
              <w:rPr>
                <w:rFonts w:cs="Arial"/>
              </w:rPr>
              <w:t>.</w:t>
            </w:r>
          </w:p>
          <w:p w14:paraId="235D2B5C" w14:textId="794C5625" w:rsidR="000840C2" w:rsidRDefault="000840C2" w:rsidP="00B53BA6">
            <w:pPr>
              <w:rPr>
                <w:rFonts w:cs="Arial"/>
              </w:rPr>
            </w:pPr>
            <w:r>
              <w:rPr>
                <w:rFonts w:cs="Arial"/>
              </w:rPr>
              <w:lastRenderedPageBreak/>
              <w:t xml:space="preserve">The County is predominantly rural with an area of 1,220 </w:t>
            </w:r>
            <w:proofErr w:type="spellStart"/>
            <w:r>
              <w:rPr>
                <w:rFonts w:cs="Arial"/>
              </w:rPr>
              <w:t>sq</w:t>
            </w:r>
            <w:proofErr w:type="spellEnd"/>
            <w:r>
              <w:rPr>
                <w:rFonts w:cs="Arial"/>
              </w:rPr>
              <w:t xml:space="preserve"> miles, there are urban centres such as Gloucester City and Cheltenham but also large rural areas with smaller towns and villages.</w:t>
            </w:r>
          </w:p>
          <w:p w14:paraId="2748DB8E" w14:textId="77777777" w:rsidR="00327E3E" w:rsidRPr="004F0E08" w:rsidRDefault="00327E3E" w:rsidP="00327E3E">
            <w:pPr>
              <w:rPr>
                <w:rFonts w:cs="Arial"/>
                <w:shd w:val="clear" w:color="auto" w:fill="FFFFFF"/>
              </w:rPr>
            </w:pPr>
            <w:r w:rsidRPr="004F0E08">
              <w:rPr>
                <w:rFonts w:cs="Arial"/>
                <w:shd w:val="clear" w:color="auto" w:fill="FFFFFF"/>
              </w:rPr>
              <w:t xml:space="preserve">NHS Gloucestershire Integrated Care Board (ICB) is a core member of the One Gloucestershire Health and Wellbeing Partnership alongside NHS providers, primary care, local councils, health, and care providers and voluntary, community and social enterprise (VCSE) organisations.  The partnership </w:t>
            </w:r>
            <w:r>
              <w:rPr>
                <w:rFonts w:cs="Arial"/>
                <w:shd w:val="clear" w:color="auto" w:fill="FFFFFF"/>
              </w:rPr>
              <w:t>strategic priorities are</w:t>
            </w:r>
            <w:r w:rsidRPr="004F0E08">
              <w:rPr>
                <w:rFonts w:cs="Arial"/>
                <w:shd w:val="clear" w:color="auto" w:fill="FFFFFF"/>
              </w:rPr>
              <w:t>:</w:t>
            </w:r>
          </w:p>
          <w:p w14:paraId="311B9B99" w14:textId="77777777" w:rsidR="00327E3E" w:rsidRDefault="00327E3E" w:rsidP="00327E3E">
            <w:pPr>
              <w:numPr>
                <w:ilvl w:val="0"/>
                <w:numId w:val="28"/>
              </w:numPr>
              <w:pBdr>
                <w:left w:val="single" w:sz="36" w:space="23" w:color="005EB8"/>
              </w:pBdr>
              <w:shd w:val="clear" w:color="auto" w:fill="F0F4F5"/>
              <w:spacing w:before="100" w:beforeAutospacing="1" w:after="100" w:afterAutospacing="1" w:line="240" w:lineRule="auto"/>
              <w:textboxTightWrap w:val="none"/>
              <w:rPr>
                <w:rFonts w:cs="Arial"/>
                <w:color w:val="212B32"/>
              </w:rPr>
            </w:pPr>
            <w:r>
              <w:rPr>
                <w:rStyle w:val="Strong"/>
                <w:rFonts w:cs="Arial"/>
                <w:color w:val="212B32"/>
              </w:rPr>
              <w:t>Making Gloucestershire a better place for the future</w:t>
            </w:r>
            <w:r>
              <w:rPr>
                <w:rFonts w:cs="Arial"/>
                <w:color w:val="212B32"/>
              </w:rPr>
              <w:t> - improving the health, wellbeing and care of our citizens - focus on early prevention and the wider impacts on health</w:t>
            </w:r>
          </w:p>
          <w:p w14:paraId="0B2CFB3A" w14:textId="77777777" w:rsidR="00327E3E" w:rsidRDefault="00327E3E" w:rsidP="00327E3E">
            <w:pPr>
              <w:numPr>
                <w:ilvl w:val="0"/>
                <w:numId w:val="28"/>
              </w:numPr>
              <w:pBdr>
                <w:left w:val="single" w:sz="36" w:space="23" w:color="005EB8"/>
              </w:pBdr>
              <w:shd w:val="clear" w:color="auto" w:fill="F0F4F5"/>
              <w:spacing w:before="100" w:beforeAutospacing="1" w:after="100" w:afterAutospacing="1" w:line="240" w:lineRule="auto"/>
              <w:textboxTightWrap w:val="none"/>
              <w:rPr>
                <w:rFonts w:cs="Arial"/>
                <w:color w:val="212B32"/>
              </w:rPr>
            </w:pPr>
            <w:r>
              <w:rPr>
                <w:rStyle w:val="Strong"/>
                <w:rFonts w:cs="Arial"/>
                <w:color w:val="212B32"/>
              </w:rPr>
              <w:t>Transforming what we do</w:t>
            </w:r>
            <w:r>
              <w:rPr>
                <w:rFonts w:cs="Arial"/>
                <w:color w:val="212B32"/>
              </w:rPr>
              <w:t> - locality integrated working that supports the needs of the local population, achieving equity - reducing unfair and avoidable differences in health, developing our workforce, improving quality and outcomes across the whole person journey and making the most of digital technology to support care</w:t>
            </w:r>
          </w:p>
          <w:p w14:paraId="57AE8DDA" w14:textId="77777777" w:rsidR="00327E3E" w:rsidRDefault="00327E3E" w:rsidP="00327E3E">
            <w:pPr>
              <w:numPr>
                <w:ilvl w:val="0"/>
                <w:numId w:val="28"/>
              </w:numPr>
              <w:pBdr>
                <w:left w:val="single" w:sz="36" w:space="23" w:color="005EB8"/>
              </w:pBdr>
              <w:shd w:val="clear" w:color="auto" w:fill="F0F4F5"/>
              <w:spacing w:before="100" w:beforeAutospacing="1" w:after="100" w:afterAutospacing="1" w:line="240" w:lineRule="auto"/>
              <w:textboxTightWrap w:val="none"/>
              <w:rPr>
                <w:rFonts w:cs="Arial"/>
                <w:color w:val="212B32"/>
              </w:rPr>
            </w:pPr>
            <w:r>
              <w:rPr>
                <w:rStyle w:val="Strong"/>
                <w:rFonts w:cs="Arial"/>
                <w:color w:val="212B32"/>
              </w:rPr>
              <w:t>Improving health and care services today</w:t>
            </w:r>
            <w:r>
              <w:rPr>
                <w:rFonts w:cs="Arial"/>
                <w:color w:val="212B32"/>
              </w:rPr>
              <w:t> - improving access to care, reducing waiting times, supporting improvements in urgent and emergency care and improving mental health support.</w:t>
            </w:r>
          </w:p>
          <w:p w14:paraId="5E84BD5C" w14:textId="0A13998A" w:rsidR="00327E3E" w:rsidRPr="00971C24" w:rsidRDefault="00327E3E" w:rsidP="00327E3E">
            <w:pPr>
              <w:rPr>
                <w:rFonts w:cs="Arial"/>
                <w:i/>
                <w:iCs/>
                <w:color w:val="231F20" w:themeColor="background1"/>
              </w:rPr>
            </w:pPr>
            <w:r w:rsidRPr="00971C24">
              <w:rPr>
                <w:rFonts w:cs="Arial"/>
                <w:color w:val="231F20" w:themeColor="background1"/>
              </w:rPr>
              <w:t>The Integrated Care System has a Joint Forward Plan</w:t>
            </w:r>
            <w:r w:rsidRPr="00971C24">
              <w:rPr>
                <w:rFonts w:cs="Arial"/>
                <w:color w:val="231F20" w:themeColor="background1"/>
                <w:shd w:val="clear" w:color="auto" w:fill="FFFFFF"/>
              </w:rPr>
              <w:t xml:space="preserve"> </w:t>
            </w:r>
            <w:hyperlink r:id="rId15" w:tgtFrame="_blank" w:history="1">
              <w:r w:rsidRPr="00971C24">
                <w:rPr>
                  <w:rStyle w:val="Hyperlink"/>
                  <w:rFonts w:cs="Arial"/>
                  <w:color w:val="231F20" w:themeColor="background1"/>
                  <w:shd w:val="clear" w:color="auto" w:fill="FFFFFF"/>
                </w:rPr>
                <w:t>One Gloucestershire Joint Forward Plan</w:t>
              </w:r>
            </w:hyperlink>
            <w:r w:rsidRPr="00971C24">
              <w:rPr>
                <w:rFonts w:cs="Arial"/>
                <w:color w:val="231F20" w:themeColor="background1"/>
                <w:shd w:val="clear" w:color="auto" w:fill="FFFFFF"/>
              </w:rPr>
              <w:t> (JFP) describes how we will deliver and improve the health and care elements of the </w:t>
            </w:r>
            <w:hyperlink r:id="rId16" w:tgtFrame="_blank" w:history="1">
              <w:r w:rsidRPr="00971C24">
                <w:rPr>
                  <w:rStyle w:val="Hyperlink"/>
                  <w:rFonts w:cs="Arial"/>
                  <w:color w:val="231F20" w:themeColor="background1"/>
                  <w:shd w:val="clear" w:color="auto" w:fill="FFFFFF"/>
                </w:rPr>
                <w:t>integrated care strategy</w:t>
              </w:r>
            </w:hyperlink>
            <w:r w:rsidRPr="00971C24">
              <w:rPr>
                <w:rFonts w:cs="Arial"/>
                <w:color w:val="231F20" w:themeColor="background1"/>
                <w:shd w:val="clear" w:color="auto" w:fill="FFFFFF"/>
              </w:rPr>
              <w:t>. </w:t>
            </w:r>
          </w:p>
          <w:p w14:paraId="204DE50D" w14:textId="70E9BDD8" w:rsidR="00355691" w:rsidRDefault="00327E3E" w:rsidP="00327E3E">
            <w:pPr>
              <w:rPr>
                <w:rFonts w:cs="Arial"/>
              </w:rPr>
            </w:pPr>
            <w:r w:rsidRPr="00E33128">
              <w:rPr>
                <w:rFonts w:cs="Arial"/>
              </w:rPr>
              <w:t>Healthcare infrastructure is critical to the delivery of safe, high-quality clinical services and a key enabler for transformational change and quality improvement. A fit for purpose estate means that we can deliver the kind of modern, digitally enabled patient care pathways that we know result in significant improvements for patients, staff and anyone involved with the NHS.</w:t>
            </w:r>
            <w:r>
              <w:rPr>
                <w:rFonts w:cs="Arial"/>
              </w:rPr>
              <w:t xml:space="preserve">  The ICS </w:t>
            </w:r>
            <w:r w:rsidR="00971C24">
              <w:rPr>
                <w:rFonts w:cs="Arial"/>
              </w:rPr>
              <w:t>approved</w:t>
            </w:r>
            <w:r>
              <w:rPr>
                <w:rFonts w:cs="Arial"/>
              </w:rPr>
              <w:t xml:space="preserve"> an infrastructure plan to respond to the needs for the system in the future and help prioritise constrained resources.</w:t>
            </w:r>
            <w:r w:rsidR="006064D4">
              <w:rPr>
                <w:rFonts w:cs="Arial"/>
              </w:rPr>
              <w:t xml:space="preserve">  </w:t>
            </w:r>
            <w:r w:rsidR="00355691" w:rsidRPr="00355691">
              <w:rPr>
                <w:rFonts w:cs="Arial"/>
              </w:rPr>
              <w:t xml:space="preserve">go </w:t>
            </w:r>
            <w:hyperlink r:id="rId17" w:history="1">
              <w:r w:rsidR="00355691" w:rsidRPr="00355691">
                <w:rPr>
                  <w:rStyle w:val="Hyperlink"/>
                  <w:rFonts w:ascii="Arial" w:hAnsi="Arial" w:cs="Arial"/>
                </w:rPr>
                <w:t>https://www.nhsglos.nhs.uk/wp-content/uploads/2025/06/AI-13.1-Gloucs-ICS-Infrastructure-Strategy-Summary-Version-May-2025-Final.pdf</w:t>
              </w:r>
            </w:hyperlink>
          </w:p>
          <w:p w14:paraId="2561521B" w14:textId="7CA6A67C" w:rsidR="00327E3E" w:rsidRDefault="006064D4" w:rsidP="00327E3E">
            <w:pPr>
              <w:rPr>
                <w:rFonts w:cs="Arial"/>
              </w:rPr>
            </w:pPr>
            <w:r>
              <w:rPr>
                <w:rFonts w:cs="Arial"/>
              </w:rPr>
              <w:t>Within the document, we have set out our vision for infrastructure:</w:t>
            </w:r>
          </w:p>
          <w:p w14:paraId="389F6FB6" w14:textId="029E01F8" w:rsidR="006064D4" w:rsidRDefault="006064D4" w:rsidP="00327E3E">
            <w:pPr>
              <w:rPr>
                <w:rFonts w:cs="Arial"/>
                <w:i/>
                <w:iCs/>
              </w:rPr>
            </w:pPr>
            <w:r w:rsidRPr="006064D4">
              <w:rPr>
                <w:rFonts w:cs="Arial"/>
                <w:i/>
                <w:iCs/>
              </w:rPr>
              <w:t xml:space="preserve">Our visions </w:t>
            </w:r>
            <w:proofErr w:type="gramStart"/>
            <w:r w:rsidRPr="006064D4">
              <w:rPr>
                <w:rFonts w:cs="Arial"/>
                <w:i/>
                <w:iCs/>
              </w:rPr>
              <w:t>is</w:t>
            </w:r>
            <w:proofErr w:type="gramEnd"/>
            <w:r w:rsidRPr="006064D4">
              <w:rPr>
                <w:rFonts w:cs="Arial"/>
                <w:i/>
                <w:iCs/>
              </w:rPr>
              <w:t xml:space="preserve"> for sustainable infrastructure that supports our journey towards net zero carbon and enables the delivery of our Joint Forward Plan and Joint Health and Wellbeing Strategy</w:t>
            </w:r>
          </w:p>
          <w:p w14:paraId="0BC22B8C" w14:textId="77777777" w:rsidR="00971C24" w:rsidRPr="00971C24" w:rsidRDefault="00971C24" w:rsidP="00971C24">
            <w:pPr>
              <w:contextualSpacing/>
              <w:jc w:val="both"/>
              <w:rPr>
                <w:rFonts w:cs="Arial"/>
              </w:rPr>
            </w:pPr>
            <w:r w:rsidRPr="00971C24">
              <w:rPr>
                <w:rFonts w:cs="Arial"/>
              </w:rPr>
              <w:t>Our infrastructure must:</w:t>
            </w:r>
          </w:p>
          <w:p w14:paraId="330D5D85" w14:textId="77777777" w:rsidR="00971C24" w:rsidRPr="00971C24" w:rsidRDefault="00971C24" w:rsidP="00971C24">
            <w:pPr>
              <w:pStyle w:val="ListParagraph"/>
              <w:numPr>
                <w:ilvl w:val="0"/>
                <w:numId w:val="41"/>
              </w:numPr>
              <w:spacing w:after="0"/>
              <w:contextualSpacing/>
              <w:jc w:val="both"/>
              <w:rPr>
                <w:rFonts w:cs="Arial"/>
                <w:color w:val="231F20" w:themeColor="background1"/>
              </w:rPr>
            </w:pPr>
            <w:r w:rsidRPr="00971C24">
              <w:rPr>
                <w:rFonts w:cs="Arial"/>
                <w:color w:val="231F20" w:themeColor="background1"/>
              </w:rPr>
              <w:t xml:space="preserve">be affordable and demonstrate value for </w:t>
            </w:r>
            <w:proofErr w:type="gramStart"/>
            <w:r w:rsidRPr="00971C24">
              <w:rPr>
                <w:rFonts w:cs="Arial"/>
                <w:color w:val="231F20" w:themeColor="background1"/>
              </w:rPr>
              <w:t>money;</w:t>
            </w:r>
            <w:proofErr w:type="gramEnd"/>
          </w:p>
          <w:p w14:paraId="6F6C7BA5" w14:textId="77777777" w:rsidR="00971C24" w:rsidRPr="00971C24" w:rsidRDefault="00971C24" w:rsidP="00971C24">
            <w:pPr>
              <w:pStyle w:val="ListParagraph"/>
              <w:numPr>
                <w:ilvl w:val="0"/>
                <w:numId w:val="41"/>
              </w:numPr>
              <w:spacing w:after="0"/>
              <w:contextualSpacing/>
              <w:jc w:val="both"/>
              <w:rPr>
                <w:rFonts w:cs="Arial"/>
                <w:color w:val="231F20" w:themeColor="background1"/>
              </w:rPr>
            </w:pPr>
            <w:r w:rsidRPr="00971C24">
              <w:rPr>
                <w:rFonts w:cs="Arial"/>
                <w:color w:val="231F20" w:themeColor="background1"/>
              </w:rPr>
              <w:t>support the delivery of:</w:t>
            </w:r>
          </w:p>
          <w:p w14:paraId="22C991FB" w14:textId="3056078D" w:rsidR="00971C24" w:rsidRPr="00971C24" w:rsidRDefault="00971C24" w:rsidP="00971C24">
            <w:pPr>
              <w:pStyle w:val="ListParagraph"/>
              <w:numPr>
                <w:ilvl w:val="1"/>
                <w:numId w:val="41"/>
              </w:numPr>
              <w:spacing w:after="0"/>
              <w:contextualSpacing/>
              <w:jc w:val="both"/>
              <w:rPr>
                <w:rFonts w:cs="Arial"/>
                <w:color w:val="231F20" w:themeColor="background1"/>
              </w:rPr>
            </w:pPr>
            <w:r w:rsidRPr="00971C24">
              <w:rPr>
                <w:rFonts w:cs="Arial"/>
                <w:color w:val="231F20" w:themeColor="background1"/>
              </w:rPr>
              <w:t>our focus on early prevention and the wider impacts on health</w:t>
            </w:r>
          </w:p>
          <w:p w14:paraId="29F21BC8" w14:textId="77777777" w:rsidR="00971C24" w:rsidRPr="00971C24" w:rsidRDefault="00971C24" w:rsidP="00971C24">
            <w:pPr>
              <w:pStyle w:val="ListParagraph"/>
              <w:numPr>
                <w:ilvl w:val="1"/>
                <w:numId w:val="41"/>
              </w:numPr>
              <w:spacing w:after="0"/>
              <w:contextualSpacing/>
              <w:jc w:val="both"/>
              <w:rPr>
                <w:rFonts w:cs="Arial"/>
                <w:color w:val="231F20" w:themeColor="background1"/>
              </w:rPr>
            </w:pPr>
            <w:r w:rsidRPr="00971C24">
              <w:rPr>
                <w:rFonts w:cs="Arial"/>
                <w:color w:val="231F20" w:themeColor="background1"/>
              </w:rPr>
              <w:lastRenderedPageBreak/>
              <w:t>accessible, joined up and integrated care in our communities, including the home; and</w:t>
            </w:r>
          </w:p>
          <w:p w14:paraId="48209A14" w14:textId="77777777" w:rsidR="00971C24" w:rsidRPr="00971C24" w:rsidRDefault="00971C24" w:rsidP="00971C24">
            <w:pPr>
              <w:pStyle w:val="ListParagraph"/>
              <w:numPr>
                <w:ilvl w:val="1"/>
                <w:numId w:val="41"/>
              </w:numPr>
              <w:contextualSpacing/>
              <w:jc w:val="both"/>
              <w:rPr>
                <w:rFonts w:cs="Arial"/>
                <w:color w:val="231F20" w:themeColor="background1"/>
              </w:rPr>
            </w:pPr>
            <w:r w:rsidRPr="00971C24">
              <w:rPr>
                <w:rFonts w:cs="Arial"/>
                <w:color w:val="231F20" w:themeColor="background1"/>
              </w:rPr>
              <w:t xml:space="preserve">specialised services in Cheltenham and </w:t>
            </w:r>
            <w:proofErr w:type="gramStart"/>
            <w:r w:rsidRPr="00971C24">
              <w:rPr>
                <w:rFonts w:cs="Arial"/>
                <w:color w:val="231F20" w:themeColor="background1"/>
              </w:rPr>
              <w:t>Gloucester;</w:t>
            </w:r>
            <w:proofErr w:type="gramEnd"/>
          </w:p>
          <w:p w14:paraId="62342969" w14:textId="77777777" w:rsidR="00971C24" w:rsidRPr="00971C24" w:rsidRDefault="00971C24" w:rsidP="00971C24">
            <w:pPr>
              <w:pStyle w:val="ListParagraph"/>
              <w:numPr>
                <w:ilvl w:val="0"/>
                <w:numId w:val="41"/>
              </w:numPr>
              <w:contextualSpacing/>
              <w:jc w:val="both"/>
              <w:rPr>
                <w:rFonts w:cs="Arial"/>
                <w:color w:val="231F20" w:themeColor="background1"/>
              </w:rPr>
            </w:pPr>
            <w:r w:rsidRPr="00971C24">
              <w:rPr>
                <w:rFonts w:cs="Arial"/>
                <w:color w:val="231F20" w:themeColor="background1"/>
              </w:rPr>
              <w:t>be well used, maintained and developed by our partners on a collaborative basis; and</w:t>
            </w:r>
          </w:p>
          <w:p w14:paraId="06259703" w14:textId="77777777" w:rsidR="00971C24" w:rsidRPr="00971C24" w:rsidRDefault="00971C24" w:rsidP="00971C24">
            <w:pPr>
              <w:pStyle w:val="ListParagraph"/>
              <w:numPr>
                <w:ilvl w:val="0"/>
                <w:numId w:val="41"/>
              </w:numPr>
              <w:contextualSpacing/>
              <w:jc w:val="both"/>
              <w:rPr>
                <w:rFonts w:cs="Arial"/>
                <w:color w:val="231F20" w:themeColor="background1"/>
              </w:rPr>
            </w:pPr>
            <w:r w:rsidRPr="00971C24">
              <w:rPr>
                <w:rFonts w:cs="Arial"/>
                <w:color w:val="231F20" w:themeColor="background1"/>
              </w:rPr>
              <w:t>provide a great environment for the people of Gloucestershire, including our workforce and patients.</w:t>
            </w:r>
          </w:p>
          <w:p w14:paraId="1A1E3369" w14:textId="77777777" w:rsidR="000840C2" w:rsidRDefault="000840C2" w:rsidP="00B83DE4">
            <w:pPr>
              <w:pStyle w:val="ListParagraph"/>
              <w:spacing w:after="0" w:line="240" w:lineRule="auto"/>
              <w:ind w:left="360" w:firstLine="0"/>
              <w:contextualSpacing/>
              <w:jc w:val="both"/>
              <w:textboxTightWrap w:val="none"/>
              <w:rPr>
                <w:rFonts w:cs="Arial"/>
              </w:rPr>
            </w:pPr>
          </w:p>
          <w:p w14:paraId="208443FC" w14:textId="186FD227" w:rsidR="000840C2" w:rsidRDefault="000840C2" w:rsidP="000840C2">
            <w:pPr>
              <w:pStyle w:val="Bulletlist"/>
              <w:framePr w:hSpace="0" w:wrap="auto" w:vAnchor="margin" w:hAnchor="text" w:yAlign="inline"/>
            </w:pPr>
            <w:r>
              <w:t>Gloucestershire has two acute hospital sites, one in Gloucester and one in Cheltenham, within this 96% of the estate is freehold (</w:t>
            </w:r>
            <w:proofErr w:type="spellStart"/>
            <w:r>
              <w:t>exl</w:t>
            </w:r>
            <w:proofErr w:type="spellEnd"/>
            <w:r>
              <w:t xml:space="preserve"> PFI). </w:t>
            </w:r>
            <w:r w:rsidRPr="000840C2">
              <w:t xml:space="preserve">GHFT has an existing PFI on the Gloucester Royal site.  The scheme is called Gloucester Hospitals Partnership and was instigated in April 2002 and runs for 31 years; </w:t>
            </w:r>
            <w:r>
              <w:t>t</w:t>
            </w:r>
            <w:r w:rsidRPr="000840C2">
              <w:t>his will cease in February 2034.  The PFI building houses the Emergency Department, three in-patient wards, an Endoscopy Unit, the Medicine SDEC Unit, Therapies and most of the Outpatient departments on the site.  The value of the building is £51,192,955 as at February 2025, with annual charges around £7m.  Last year, the Trust concluded the Gloucestershire Strategic Site Development which included the creation of the SDEC, an extension to both the Emergency Department and the Acute Medical Unit, as well as redesigning the Orthopaedic Outpatient Unit</w:t>
            </w:r>
          </w:p>
          <w:p w14:paraId="1E48D31B" w14:textId="77777777" w:rsidR="000840C2" w:rsidRDefault="000840C2" w:rsidP="000840C2">
            <w:r>
              <w:t xml:space="preserve">Gloucestershire Health &amp; Care NHS Foundation Trust operates six community hospitals, a learning disability unit and four mental health in patient units along with </w:t>
            </w:r>
            <w:proofErr w:type="gramStart"/>
            <w:r>
              <w:t>a number of</w:t>
            </w:r>
            <w:proofErr w:type="gramEnd"/>
            <w:r>
              <w:t xml:space="preserve"> smaller sites across the county.  </w:t>
            </w:r>
          </w:p>
          <w:p w14:paraId="0A055409" w14:textId="11B31567" w:rsidR="000840C2" w:rsidRDefault="000840C2" w:rsidP="000840C2">
            <w:pPr>
              <w:rPr>
                <w:color w:val="auto"/>
              </w:rPr>
            </w:pPr>
            <w:r>
              <w:t xml:space="preserve">GP practices operate out of </w:t>
            </w:r>
            <w:r w:rsidRPr="004D7FF2">
              <w:rPr>
                <w:color w:val="auto"/>
              </w:rPr>
              <w:t>84 sites across the county of which 38% are owned by GPs, the remainder are leasehold or owned or leased by NHS Property services.</w:t>
            </w:r>
          </w:p>
          <w:p w14:paraId="0975A188" w14:textId="77777777" w:rsidR="000840C2" w:rsidRDefault="000840C2" w:rsidP="000840C2">
            <w:pPr>
              <w:rPr>
                <w:color w:val="auto"/>
              </w:rPr>
            </w:pPr>
            <w:r w:rsidRPr="004D7FF2">
              <w:rPr>
                <w:color w:val="auto"/>
              </w:rPr>
              <w:t xml:space="preserve">Within the </w:t>
            </w:r>
            <w:r>
              <w:rPr>
                <w:color w:val="auto"/>
              </w:rPr>
              <w:t>Gloucestershire estate we have a high level of backlog maintenance, the majority of which is within the GHFT estate:</w:t>
            </w:r>
          </w:p>
          <w:tbl>
            <w:tblPr>
              <w:tblStyle w:val="TableGrid"/>
              <w:tblW w:w="0" w:type="auto"/>
              <w:tblLook w:val="04A0" w:firstRow="1" w:lastRow="0" w:firstColumn="1" w:lastColumn="0" w:noHBand="0" w:noVBand="1"/>
            </w:tblPr>
            <w:tblGrid>
              <w:gridCol w:w="1944"/>
              <w:gridCol w:w="2034"/>
              <w:gridCol w:w="2016"/>
              <w:gridCol w:w="1817"/>
              <w:gridCol w:w="1817"/>
            </w:tblGrid>
            <w:tr w:rsidR="000840C2" w14:paraId="1FDFF578" w14:textId="77777777" w:rsidTr="00BB4465">
              <w:trPr>
                <w:trHeight w:val="1277"/>
              </w:trPr>
              <w:tc>
                <w:tcPr>
                  <w:tcW w:w="1944" w:type="dxa"/>
                </w:tcPr>
                <w:p w14:paraId="00C2A418" w14:textId="77777777" w:rsidR="000840C2" w:rsidRPr="00290BFD" w:rsidRDefault="000840C2" w:rsidP="000840C2">
                  <w:pPr>
                    <w:rPr>
                      <w:color w:val="auto"/>
                      <w:sz w:val="22"/>
                      <w:szCs w:val="22"/>
                    </w:rPr>
                  </w:pPr>
                </w:p>
              </w:tc>
              <w:tc>
                <w:tcPr>
                  <w:tcW w:w="2034" w:type="dxa"/>
                </w:tcPr>
                <w:p w14:paraId="461DDD59" w14:textId="77777777" w:rsidR="000840C2" w:rsidRDefault="000840C2" w:rsidP="000840C2">
                  <w:pPr>
                    <w:jc w:val="center"/>
                    <w:rPr>
                      <w:color w:val="auto"/>
                      <w:sz w:val="22"/>
                      <w:szCs w:val="22"/>
                    </w:rPr>
                  </w:pPr>
                  <w:r w:rsidRPr="00290BFD">
                    <w:rPr>
                      <w:color w:val="auto"/>
                      <w:sz w:val="22"/>
                      <w:szCs w:val="22"/>
                    </w:rPr>
                    <w:t>High &amp; Significant risk</w:t>
                  </w:r>
                </w:p>
                <w:p w14:paraId="02C174C1" w14:textId="77777777" w:rsidR="000840C2" w:rsidRPr="00290BFD" w:rsidRDefault="000840C2" w:rsidP="000840C2">
                  <w:pPr>
                    <w:jc w:val="center"/>
                    <w:rPr>
                      <w:color w:val="auto"/>
                      <w:sz w:val="22"/>
                      <w:szCs w:val="22"/>
                    </w:rPr>
                  </w:pPr>
                  <w:r w:rsidRPr="00290BFD">
                    <w:rPr>
                      <w:color w:val="auto"/>
                      <w:sz w:val="22"/>
                      <w:szCs w:val="22"/>
                    </w:rPr>
                    <w:t>£’m</w:t>
                  </w:r>
                </w:p>
              </w:tc>
              <w:tc>
                <w:tcPr>
                  <w:tcW w:w="2016" w:type="dxa"/>
                </w:tcPr>
                <w:p w14:paraId="52A8D1C0" w14:textId="77777777" w:rsidR="000840C2" w:rsidRPr="00290BFD" w:rsidRDefault="000840C2" w:rsidP="000840C2">
                  <w:pPr>
                    <w:jc w:val="center"/>
                    <w:rPr>
                      <w:color w:val="auto"/>
                      <w:sz w:val="22"/>
                      <w:szCs w:val="22"/>
                    </w:rPr>
                  </w:pPr>
                  <w:r w:rsidRPr="00290BFD">
                    <w:rPr>
                      <w:color w:val="auto"/>
                      <w:sz w:val="22"/>
                      <w:szCs w:val="22"/>
                    </w:rPr>
                    <w:t xml:space="preserve">Moderate Risk       </w:t>
                  </w:r>
                </w:p>
                <w:p w14:paraId="31839117" w14:textId="77777777" w:rsidR="000840C2" w:rsidRPr="00290BFD" w:rsidRDefault="000840C2" w:rsidP="000840C2">
                  <w:pPr>
                    <w:jc w:val="center"/>
                    <w:rPr>
                      <w:color w:val="auto"/>
                      <w:sz w:val="22"/>
                      <w:szCs w:val="22"/>
                    </w:rPr>
                  </w:pPr>
                  <w:r w:rsidRPr="00290BFD">
                    <w:rPr>
                      <w:color w:val="auto"/>
                      <w:sz w:val="22"/>
                      <w:szCs w:val="22"/>
                    </w:rPr>
                    <w:t>£’m</w:t>
                  </w:r>
                </w:p>
              </w:tc>
              <w:tc>
                <w:tcPr>
                  <w:tcW w:w="1817" w:type="dxa"/>
                </w:tcPr>
                <w:p w14:paraId="1F61DDC6" w14:textId="77777777" w:rsidR="000840C2" w:rsidRPr="00290BFD" w:rsidRDefault="000840C2" w:rsidP="000840C2">
                  <w:pPr>
                    <w:jc w:val="center"/>
                    <w:rPr>
                      <w:color w:val="auto"/>
                      <w:sz w:val="22"/>
                      <w:szCs w:val="22"/>
                    </w:rPr>
                  </w:pPr>
                  <w:r w:rsidRPr="00290BFD">
                    <w:rPr>
                      <w:color w:val="auto"/>
                      <w:sz w:val="22"/>
                      <w:szCs w:val="22"/>
                    </w:rPr>
                    <w:t>Low Risk</w:t>
                  </w:r>
                </w:p>
                <w:p w14:paraId="0885B42C" w14:textId="77777777" w:rsidR="000840C2" w:rsidRPr="00290BFD" w:rsidRDefault="000840C2" w:rsidP="000840C2">
                  <w:pPr>
                    <w:jc w:val="center"/>
                    <w:rPr>
                      <w:color w:val="auto"/>
                      <w:sz w:val="22"/>
                      <w:szCs w:val="22"/>
                    </w:rPr>
                  </w:pPr>
                  <w:r w:rsidRPr="00290BFD">
                    <w:rPr>
                      <w:color w:val="auto"/>
                      <w:sz w:val="22"/>
                      <w:szCs w:val="22"/>
                    </w:rPr>
                    <w:t>£’m</w:t>
                  </w:r>
                </w:p>
              </w:tc>
              <w:tc>
                <w:tcPr>
                  <w:tcW w:w="1817" w:type="dxa"/>
                </w:tcPr>
                <w:p w14:paraId="0C5DBB27" w14:textId="77777777" w:rsidR="000840C2" w:rsidRPr="00290BFD" w:rsidRDefault="000840C2" w:rsidP="000840C2">
                  <w:pPr>
                    <w:jc w:val="center"/>
                    <w:rPr>
                      <w:color w:val="auto"/>
                      <w:sz w:val="22"/>
                      <w:szCs w:val="22"/>
                    </w:rPr>
                  </w:pPr>
                  <w:r w:rsidRPr="00290BFD">
                    <w:rPr>
                      <w:color w:val="auto"/>
                      <w:sz w:val="22"/>
                      <w:szCs w:val="22"/>
                    </w:rPr>
                    <w:t>Total</w:t>
                  </w:r>
                </w:p>
                <w:p w14:paraId="02E17F5E" w14:textId="77777777" w:rsidR="000840C2" w:rsidRPr="00290BFD" w:rsidRDefault="000840C2" w:rsidP="000840C2">
                  <w:pPr>
                    <w:jc w:val="center"/>
                    <w:rPr>
                      <w:color w:val="auto"/>
                      <w:sz w:val="22"/>
                      <w:szCs w:val="22"/>
                    </w:rPr>
                  </w:pPr>
                  <w:r w:rsidRPr="00290BFD">
                    <w:rPr>
                      <w:color w:val="auto"/>
                      <w:sz w:val="22"/>
                      <w:szCs w:val="22"/>
                    </w:rPr>
                    <w:t>£’m</w:t>
                  </w:r>
                </w:p>
              </w:tc>
            </w:tr>
            <w:tr w:rsidR="000840C2" w14:paraId="5D245C99" w14:textId="77777777" w:rsidTr="00BB4465">
              <w:trPr>
                <w:trHeight w:val="561"/>
              </w:trPr>
              <w:tc>
                <w:tcPr>
                  <w:tcW w:w="1944" w:type="dxa"/>
                </w:tcPr>
                <w:p w14:paraId="6DD8B889" w14:textId="77777777" w:rsidR="000840C2" w:rsidRPr="00290BFD" w:rsidRDefault="000840C2" w:rsidP="000840C2">
                  <w:pPr>
                    <w:rPr>
                      <w:color w:val="auto"/>
                      <w:sz w:val="22"/>
                      <w:szCs w:val="22"/>
                    </w:rPr>
                  </w:pPr>
                  <w:r w:rsidRPr="00290BFD">
                    <w:rPr>
                      <w:color w:val="auto"/>
                      <w:sz w:val="22"/>
                      <w:szCs w:val="22"/>
                    </w:rPr>
                    <w:t>GHFT</w:t>
                  </w:r>
                </w:p>
              </w:tc>
              <w:tc>
                <w:tcPr>
                  <w:tcW w:w="2034" w:type="dxa"/>
                </w:tcPr>
                <w:p w14:paraId="2E2C5C9A" w14:textId="77777777" w:rsidR="000840C2" w:rsidRPr="00290BFD" w:rsidRDefault="000840C2" w:rsidP="000840C2">
                  <w:pPr>
                    <w:jc w:val="right"/>
                    <w:rPr>
                      <w:color w:val="auto"/>
                      <w:sz w:val="22"/>
                      <w:szCs w:val="22"/>
                    </w:rPr>
                  </w:pPr>
                  <w:r w:rsidRPr="00290BFD">
                    <w:rPr>
                      <w:color w:val="auto"/>
                      <w:sz w:val="22"/>
                      <w:szCs w:val="22"/>
                    </w:rPr>
                    <w:t>57.1</w:t>
                  </w:r>
                </w:p>
              </w:tc>
              <w:tc>
                <w:tcPr>
                  <w:tcW w:w="2016" w:type="dxa"/>
                </w:tcPr>
                <w:p w14:paraId="76E94B18" w14:textId="77777777" w:rsidR="000840C2" w:rsidRPr="00290BFD" w:rsidRDefault="000840C2" w:rsidP="000840C2">
                  <w:pPr>
                    <w:jc w:val="right"/>
                    <w:rPr>
                      <w:color w:val="auto"/>
                      <w:sz w:val="22"/>
                      <w:szCs w:val="22"/>
                    </w:rPr>
                  </w:pPr>
                  <w:r w:rsidRPr="00290BFD">
                    <w:rPr>
                      <w:color w:val="auto"/>
                      <w:sz w:val="22"/>
                      <w:szCs w:val="22"/>
                    </w:rPr>
                    <w:t>26.5</w:t>
                  </w:r>
                </w:p>
              </w:tc>
              <w:tc>
                <w:tcPr>
                  <w:tcW w:w="1817" w:type="dxa"/>
                </w:tcPr>
                <w:p w14:paraId="6EF2DF09" w14:textId="77777777" w:rsidR="000840C2" w:rsidRPr="00290BFD" w:rsidRDefault="000840C2" w:rsidP="000840C2">
                  <w:pPr>
                    <w:jc w:val="right"/>
                    <w:rPr>
                      <w:color w:val="auto"/>
                      <w:sz w:val="22"/>
                      <w:szCs w:val="22"/>
                    </w:rPr>
                  </w:pPr>
                  <w:r w:rsidRPr="00290BFD">
                    <w:rPr>
                      <w:color w:val="auto"/>
                      <w:sz w:val="22"/>
                      <w:szCs w:val="22"/>
                    </w:rPr>
                    <w:t>2.4</w:t>
                  </w:r>
                </w:p>
              </w:tc>
              <w:tc>
                <w:tcPr>
                  <w:tcW w:w="1817" w:type="dxa"/>
                </w:tcPr>
                <w:p w14:paraId="76635E44" w14:textId="77777777" w:rsidR="000840C2" w:rsidRPr="00290BFD" w:rsidRDefault="000840C2" w:rsidP="000840C2">
                  <w:pPr>
                    <w:jc w:val="right"/>
                    <w:rPr>
                      <w:color w:val="auto"/>
                      <w:sz w:val="22"/>
                      <w:szCs w:val="22"/>
                    </w:rPr>
                  </w:pPr>
                  <w:r w:rsidRPr="00290BFD">
                    <w:rPr>
                      <w:color w:val="auto"/>
                      <w:sz w:val="22"/>
                      <w:szCs w:val="22"/>
                    </w:rPr>
                    <w:t>86.0</w:t>
                  </w:r>
                </w:p>
              </w:tc>
            </w:tr>
            <w:tr w:rsidR="000840C2" w14:paraId="2413538D" w14:textId="77777777" w:rsidTr="00BB4465">
              <w:trPr>
                <w:trHeight w:val="561"/>
              </w:trPr>
              <w:tc>
                <w:tcPr>
                  <w:tcW w:w="1944" w:type="dxa"/>
                </w:tcPr>
                <w:p w14:paraId="57014A33" w14:textId="77777777" w:rsidR="000840C2" w:rsidRPr="00290BFD" w:rsidRDefault="000840C2" w:rsidP="000840C2">
                  <w:pPr>
                    <w:rPr>
                      <w:color w:val="auto"/>
                      <w:sz w:val="22"/>
                      <w:szCs w:val="22"/>
                    </w:rPr>
                  </w:pPr>
                  <w:r w:rsidRPr="00290BFD">
                    <w:rPr>
                      <w:color w:val="auto"/>
                      <w:sz w:val="22"/>
                      <w:szCs w:val="22"/>
                    </w:rPr>
                    <w:t>GHC</w:t>
                  </w:r>
                </w:p>
              </w:tc>
              <w:tc>
                <w:tcPr>
                  <w:tcW w:w="2034" w:type="dxa"/>
                </w:tcPr>
                <w:p w14:paraId="67886097" w14:textId="77777777" w:rsidR="000840C2" w:rsidRPr="00290BFD" w:rsidRDefault="000840C2" w:rsidP="000840C2">
                  <w:pPr>
                    <w:jc w:val="right"/>
                    <w:rPr>
                      <w:color w:val="auto"/>
                      <w:sz w:val="22"/>
                      <w:szCs w:val="22"/>
                    </w:rPr>
                  </w:pPr>
                  <w:r w:rsidRPr="00290BFD">
                    <w:rPr>
                      <w:color w:val="auto"/>
                      <w:sz w:val="22"/>
                      <w:szCs w:val="22"/>
                    </w:rPr>
                    <w:t>5.6</w:t>
                  </w:r>
                </w:p>
              </w:tc>
              <w:tc>
                <w:tcPr>
                  <w:tcW w:w="2016" w:type="dxa"/>
                </w:tcPr>
                <w:p w14:paraId="75EE676E" w14:textId="77777777" w:rsidR="000840C2" w:rsidRPr="00290BFD" w:rsidRDefault="000840C2" w:rsidP="000840C2">
                  <w:pPr>
                    <w:jc w:val="right"/>
                    <w:rPr>
                      <w:color w:val="auto"/>
                      <w:sz w:val="22"/>
                      <w:szCs w:val="22"/>
                    </w:rPr>
                  </w:pPr>
                  <w:r w:rsidRPr="00290BFD">
                    <w:rPr>
                      <w:color w:val="auto"/>
                      <w:sz w:val="22"/>
                      <w:szCs w:val="22"/>
                    </w:rPr>
                    <w:t>9.4</w:t>
                  </w:r>
                </w:p>
              </w:tc>
              <w:tc>
                <w:tcPr>
                  <w:tcW w:w="1817" w:type="dxa"/>
                </w:tcPr>
                <w:p w14:paraId="5602DA59" w14:textId="77777777" w:rsidR="000840C2" w:rsidRPr="00290BFD" w:rsidRDefault="000840C2" w:rsidP="000840C2">
                  <w:pPr>
                    <w:jc w:val="right"/>
                    <w:rPr>
                      <w:color w:val="auto"/>
                      <w:sz w:val="22"/>
                      <w:szCs w:val="22"/>
                    </w:rPr>
                  </w:pPr>
                  <w:r w:rsidRPr="00290BFD">
                    <w:rPr>
                      <w:color w:val="auto"/>
                      <w:sz w:val="22"/>
                      <w:szCs w:val="22"/>
                    </w:rPr>
                    <w:t>1.1</w:t>
                  </w:r>
                </w:p>
              </w:tc>
              <w:tc>
                <w:tcPr>
                  <w:tcW w:w="1817" w:type="dxa"/>
                </w:tcPr>
                <w:p w14:paraId="467F7E0B" w14:textId="77777777" w:rsidR="000840C2" w:rsidRPr="00290BFD" w:rsidRDefault="000840C2" w:rsidP="000840C2">
                  <w:pPr>
                    <w:jc w:val="right"/>
                    <w:rPr>
                      <w:color w:val="auto"/>
                      <w:sz w:val="22"/>
                      <w:szCs w:val="22"/>
                    </w:rPr>
                  </w:pPr>
                  <w:r w:rsidRPr="00290BFD">
                    <w:rPr>
                      <w:color w:val="auto"/>
                      <w:sz w:val="22"/>
                      <w:szCs w:val="22"/>
                    </w:rPr>
                    <w:t>16.1</w:t>
                  </w:r>
                </w:p>
              </w:tc>
            </w:tr>
            <w:tr w:rsidR="000840C2" w14:paraId="282F5299" w14:textId="77777777" w:rsidTr="00BB4465">
              <w:trPr>
                <w:trHeight w:val="549"/>
              </w:trPr>
              <w:tc>
                <w:tcPr>
                  <w:tcW w:w="1944" w:type="dxa"/>
                </w:tcPr>
                <w:p w14:paraId="1478FCC0" w14:textId="77777777" w:rsidR="000840C2" w:rsidRPr="00290BFD" w:rsidRDefault="000840C2" w:rsidP="000840C2">
                  <w:pPr>
                    <w:rPr>
                      <w:color w:val="FF0000"/>
                      <w:sz w:val="22"/>
                      <w:szCs w:val="22"/>
                    </w:rPr>
                  </w:pPr>
                  <w:r w:rsidRPr="00290BFD">
                    <w:rPr>
                      <w:color w:val="auto"/>
                      <w:sz w:val="22"/>
                      <w:szCs w:val="22"/>
                    </w:rPr>
                    <w:t xml:space="preserve">Total </w:t>
                  </w:r>
                </w:p>
              </w:tc>
              <w:tc>
                <w:tcPr>
                  <w:tcW w:w="2034" w:type="dxa"/>
                </w:tcPr>
                <w:p w14:paraId="008511E5" w14:textId="77777777" w:rsidR="000840C2" w:rsidRPr="00290BFD" w:rsidRDefault="000840C2" w:rsidP="000840C2">
                  <w:pPr>
                    <w:jc w:val="right"/>
                    <w:rPr>
                      <w:color w:val="auto"/>
                      <w:sz w:val="22"/>
                      <w:szCs w:val="22"/>
                    </w:rPr>
                  </w:pPr>
                  <w:r w:rsidRPr="00290BFD">
                    <w:rPr>
                      <w:color w:val="auto"/>
                      <w:sz w:val="22"/>
                      <w:szCs w:val="22"/>
                    </w:rPr>
                    <w:t>62.7</w:t>
                  </w:r>
                </w:p>
              </w:tc>
              <w:tc>
                <w:tcPr>
                  <w:tcW w:w="2016" w:type="dxa"/>
                </w:tcPr>
                <w:p w14:paraId="0C0C1DE4" w14:textId="77777777" w:rsidR="000840C2" w:rsidRPr="00290BFD" w:rsidRDefault="000840C2" w:rsidP="000840C2">
                  <w:pPr>
                    <w:jc w:val="right"/>
                    <w:rPr>
                      <w:color w:val="auto"/>
                      <w:sz w:val="22"/>
                      <w:szCs w:val="22"/>
                    </w:rPr>
                  </w:pPr>
                  <w:r w:rsidRPr="00290BFD">
                    <w:rPr>
                      <w:color w:val="auto"/>
                      <w:sz w:val="22"/>
                      <w:szCs w:val="22"/>
                    </w:rPr>
                    <w:t>35.9</w:t>
                  </w:r>
                </w:p>
              </w:tc>
              <w:tc>
                <w:tcPr>
                  <w:tcW w:w="1817" w:type="dxa"/>
                </w:tcPr>
                <w:p w14:paraId="47E360F0" w14:textId="77777777" w:rsidR="000840C2" w:rsidRPr="00290BFD" w:rsidRDefault="000840C2" w:rsidP="000840C2">
                  <w:pPr>
                    <w:jc w:val="right"/>
                    <w:rPr>
                      <w:color w:val="auto"/>
                      <w:sz w:val="22"/>
                      <w:szCs w:val="22"/>
                    </w:rPr>
                  </w:pPr>
                  <w:r w:rsidRPr="00290BFD">
                    <w:rPr>
                      <w:color w:val="auto"/>
                      <w:sz w:val="22"/>
                      <w:szCs w:val="22"/>
                    </w:rPr>
                    <w:t>3.5</w:t>
                  </w:r>
                </w:p>
              </w:tc>
              <w:tc>
                <w:tcPr>
                  <w:tcW w:w="1817" w:type="dxa"/>
                </w:tcPr>
                <w:p w14:paraId="790AA380" w14:textId="77777777" w:rsidR="000840C2" w:rsidRPr="00290BFD" w:rsidRDefault="000840C2" w:rsidP="000840C2">
                  <w:pPr>
                    <w:jc w:val="right"/>
                    <w:rPr>
                      <w:color w:val="auto"/>
                      <w:sz w:val="22"/>
                      <w:szCs w:val="22"/>
                    </w:rPr>
                  </w:pPr>
                  <w:r w:rsidRPr="00290BFD">
                    <w:rPr>
                      <w:color w:val="auto"/>
                      <w:sz w:val="22"/>
                      <w:szCs w:val="22"/>
                    </w:rPr>
                    <w:t>102.1</w:t>
                  </w:r>
                </w:p>
              </w:tc>
            </w:tr>
          </w:tbl>
          <w:p w14:paraId="7494C2E2" w14:textId="77777777" w:rsidR="000840C2" w:rsidRPr="000840C2" w:rsidRDefault="000840C2" w:rsidP="000840C2">
            <w:pPr>
              <w:spacing w:after="0" w:line="240" w:lineRule="auto"/>
              <w:contextualSpacing/>
              <w:jc w:val="both"/>
              <w:textboxTightWrap w:val="none"/>
              <w:rPr>
                <w:rFonts w:cs="Arial"/>
              </w:rPr>
            </w:pPr>
          </w:p>
          <w:p w14:paraId="568E51ED" w14:textId="5C2B725A" w:rsidR="00B83DE4" w:rsidRDefault="008136A8" w:rsidP="000840C2">
            <w:pPr>
              <w:pStyle w:val="Bulletlist"/>
              <w:framePr w:wrap="around"/>
            </w:pPr>
            <w:bookmarkStart w:id="1" w:name="_Hlk202441899"/>
            <w:r>
              <w:t>There are currently surveys underway within GHFT and it is anticipated that the figure of £86m will increase as a result.</w:t>
            </w:r>
          </w:p>
          <w:bookmarkEnd w:id="1"/>
          <w:p w14:paraId="5BFC5698" w14:textId="77777777" w:rsidR="008136A8" w:rsidRPr="00B83DE4" w:rsidRDefault="008136A8" w:rsidP="000840C2">
            <w:pPr>
              <w:pStyle w:val="Bulletlist"/>
              <w:framePr w:wrap="around"/>
            </w:pPr>
          </w:p>
          <w:p w14:paraId="49E9B4FC" w14:textId="5E09C8E8" w:rsidR="002916EE" w:rsidRPr="00A44C9D" w:rsidRDefault="002916EE" w:rsidP="002916EE">
            <w:pPr>
              <w:rPr>
                <w:rFonts w:cs="Arial"/>
                <w:u w:val="single"/>
              </w:rPr>
            </w:pPr>
            <w:r w:rsidRPr="00A44C9D">
              <w:rPr>
                <w:rFonts w:cs="Arial"/>
                <w:u w:val="single"/>
              </w:rPr>
              <w:lastRenderedPageBreak/>
              <w:t>Governance</w:t>
            </w:r>
          </w:p>
          <w:p w14:paraId="25D1091B" w14:textId="0C17A6A7" w:rsidR="002916EE" w:rsidRDefault="000840C2" w:rsidP="002916EE">
            <w:pPr>
              <w:rPr>
                <w:rFonts w:cs="Arial"/>
              </w:rPr>
            </w:pPr>
            <w:r>
              <w:rPr>
                <w:rFonts w:cs="Arial"/>
              </w:rPr>
              <w:t xml:space="preserve">Governance of capital programmes within organisations is via Finance or Resources Committees. </w:t>
            </w:r>
            <w:r w:rsidR="002916EE">
              <w:rPr>
                <w:rFonts w:cs="Arial"/>
              </w:rPr>
              <w:t>System Governance is through the System Resources Committee and the ICB Board.  A key focus for this year, and last year, has been on reducing risk relating to backlog maintenance</w:t>
            </w:r>
            <w:r w:rsidR="002B7498">
              <w:rPr>
                <w:rFonts w:cs="Arial"/>
              </w:rPr>
              <w:t>, resilience</w:t>
            </w:r>
            <w:r w:rsidR="002916EE">
              <w:rPr>
                <w:rFonts w:cs="Arial"/>
              </w:rPr>
              <w:t xml:space="preserve"> and compliance risks</w:t>
            </w:r>
            <w:r w:rsidR="002B7498">
              <w:rPr>
                <w:rFonts w:cs="Arial"/>
              </w:rPr>
              <w:t xml:space="preserve"> including fire and water safety, ensuring that we have an increasingly robust replacement programme to replace digital and medical equipment</w:t>
            </w:r>
            <w:r w:rsidR="002916EE" w:rsidRPr="002916EE">
              <w:rPr>
                <w:rFonts w:cs="Arial"/>
                <w:color w:val="FF0000"/>
              </w:rPr>
              <w:t xml:space="preserve">.  </w:t>
            </w:r>
            <w:r w:rsidR="002916EE">
              <w:rPr>
                <w:rFonts w:cs="Arial"/>
              </w:rPr>
              <w:t>In addition</w:t>
            </w:r>
            <w:r w:rsidR="00B83DE4">
              <w:rPr>
                <w:rFonts w:cs="Arial"/>
              </w:rPr>
              <w:t>,</w:t>
            </w:r>
            <w:r w:rsidR="002916EE">
              <w:rPr>
                <w:rFonts w:cs="Arial"/>
              </w:rPr>
              <w:t xml:space="preserve"> ensuring ongoing investment in equipment and digital.</w:t>
            </w:r>
          </w:p>
          <w:p w14:paraId="5F571751" w14:textId="77777777" w:rsidR="002916EE" w:rsidRDefault="002916EE" w:rsidP="002916EE">
            <w:pPr>
              <w:rPr>
                <w:rFonts w:cs="Arial"/>
              </w:rPr>
            </w:pPr>
            <w:r>
              <w:rPr>
                <w:rFonts w:cs="Arial"/>
              </w:rPr>
              <w:t xml:space="preserve">Reporting on the capital programme takes place monthly and is reported to the ICS Resources Committee and ICB Board </w:t>
            </w:r>
            <w:proofErr w:type="gramStart"/>
            <w:r>
              <w:rPr>
                <w:rFonts w:cs="Arial"/>
              </w:rPr>
              <w:t>bi monthly</w:t>
            </w:r>
            <w:proofErr w:type="gramEnd"/>
            <w:r>
              <w:rPr>
                <w:rFonts w:cs="Arial"/>
              </w:rPr>
              <w:t>.</w:t>
            </w:r>
          </w:p>
          <w:p w14:paraId="69372E73" w14:textId="7220479B" w:rsidR="00327E3E" w:rsidRDefault="00327E3E" w:rsidP="002916EE">
            <w:pPr>
              <w:rPr>
                <w:rFonts w:cs="Arial"/>
                <w:i/>
                <w:iCs/>
                <w:color w:val="FF0000"/>
                <w:u w:val="single"/>
              </w:rPr>
            </w:pPr>
            <w:r w:rsidRPr="00327E3E">
              <w:rPr>
                <w:rFonts w:cs="Arial"/>
                <w:color w:val="auto"/>
                <w:u w:val="single"/>
              </w:rPr>
              <w:t>Estates governance</w:t>
            </w:r>
            <w:r>
              <w:rPr>
                <w:rFonts w:cs="Arial"/>
                <w:color w:val="auto"/>
                <w:u w:val="single"/>
              </w:rPr>
              <w:t xml:space="preserve"> </w:t>
            </w:r>
          </w:p>
          <w:p w14:paraId="2DBFCF28" w14:textId="06CC7F0E" w:rsidR="00E461C7" w:rsidRPr="00D27FFB" w:rsidRDefault="00E461C7" w:rsidP="00E461C7">
            <w:pPr>
              <w:autoSpaceDE w:val="0"/>
              <w:autoSpaceDN w:val="0"/>
              <w:adjustRightInd w:val="0"/>
              <w:spacing w:after="0" w:line="240" w:lineRule="auto"/>
              <w:textboxTightWrap w:val="none"/>
              <w:rPr>
                <w:rFonts w:cs="Arial"/>
              </w:rPr>
            </w:pPr>
            <w:r w:rsidRPr="00D27FFB">
              <w:rPr>
                <w:rFonts w:cs="Arial"/>
              </w:rPr>
              <w:t xml:space="preserve">The ICS has an ICS Estates Group chaired by the Chief Executive of Gloucestershire Hospitals NHSFT.  Membership of this group includes directors responsible for estates from each organisation and organisational estates leads.  This group reports to the ICS Strategic Executive Groups and is responsible for </w:t>
            </w:r>
            <w:r w:rsidR="00D27FFB">
              <w:rPr>
                <w:rFonts w:cs="Arial"/>
              </w:rPr>
              <w:t xml:space="preserve">the implementation of the estates element of </w:t>
            </w:r>
            <w:r w:rsidRPr="00D27FFB">
              <w:rPr>
                <w:rFonts w:cs="Arial"/>
              </w:rPr>
              <w:t xml:space="preserve">the ICS Infrastructure Strategy </w:t>
            </w:r>
            <w:r w:rsidR="00D27FFB">
              <w:rPr>
                <w:rFonts w:cs="Arial"/>
              </w:rPr>
              <w:t>and ensuring that estates functions support the overall implementation of operational and system strategic plans</w:t>
            </w:r>
            <w:r w:rsidRPr="00D27FFB">
              <w:rPr>
                <w:rFonts w:cs="Arial"/>
              </w:rPr>
              <w:t>.</w:t>
            </w:r>
          </w:p>
          <w:p w14:paraId="35676D93" w14:textId="77777777" w:rsidR="00E461C7" w:rsidRPr="00D27FFB" w:rsidRDefault="00E461C7" w:rsidP="00E461C7">
            <w:pPr>
              <w:autoSpaceDE w:val="0"/>
              <w:autoSpaceDN w:val="0"/>
              <w:adjustRightInd w:val="0"/>
              <w:spacing w:after="0" w:line="240" w:lineRule="auto"/>
              <w:textboxTightWrap w:val="none"/>
              <w:rPr>
                <w:rFonts w:cs="Arial"/>
              </w:rPr>
            </w:pPr>
          </w:p>
          <w:p w14:paraId="33063A05" w14:textId="565C13CA" w:rsidR="00D27FFB" w:rsidRPr="00D27FFB" w:rsidRDefault="00D27FFB" w:rsidP="00E461C7">
            <w:pPr>
              <w:autoSpaceDE w:val="0"/>
              <w:autoSpaceDN w:val="0"/>
              <w:adjustRightInd w:val="0"/>
              <w:spacing w:after="0" w:line="240" w:lineRule="auto"/>
              <w:textboxTightWrap w:val="none"/>
              <w:rPr>
                <w:rFonts w:asciiTheme="minorHAnsi" w:hAnsiTheme="minorHAnsi" w:cstheme="minorHAnsi"/>
                <w:color w:val="auto"/>
                <w:u w:val="single"/>
              </w:rPr>
            </w:pPr>
            <w:r w:rsidRPr="00D27FFB">
              <w:rPr>
                <w:rFonts w:asciiTheme="minorHAnsi" w:hAnsiTheme="minorHAnsi" w:cstheme="minorHAnsi"/>
                <w:color w:val="auto"/>
                <w:u w:val="single"/>
              </w:rPr>
              <w:t>Estates and Facilities Management</w:t>
            </w:r>
          </w:p>
          <w:p w14:paraId="1322B58A" w14:textId="77777777" w:rsidR="008136A8" w:rsidRDefault="008136A8" w:rsidP="00B83DE4">
            <w:pPr>
              <w:pStyle w:val="ListParagraph"/>
              <w:numPr>
                <w:ilvl w:val="0"/>
                <w:numId w:val="38"/>
              </w:numPr>
              <w:autoSpaceDE w:val="0"/>
              <w:autoSpaceDN w:val="0"/>
              <w:adjustRightInd w:val="0"/>
              <w:spacing w:after="0" w:line="240" w:lineRule="auto"/>
              <w:textboxTightWrap w:val="none"/>
              <w:rPr>
                <w:rFonts w:asciiTheme="minorHAnsi" w:hAnsiTheme="minorHAnsi" w:cstheme="minorHAnsi"/>
                <w:color w:val="auto"/>
              </w:rPr>
            </w:pPr>
            <w:bookmarkStart w:id="2" w:name="_Hlk202441995"/>
            <w:r w:rsidRPr="008136A8">
              <w:rPr>
                <w:rFonts w:asciiTheme="minorHAnsi" w:hAnsiTheme="minorHAnsi" w:cstheme="minorHAnsi"/>
                <w:color w:val="auto"/>
              </w:rPr>
              <w:t>GHFT procures services from Gloucestershire Managed Services (GMS) - a wholly owned subsidiary - which provides the estates and facilities function, as well as managing the PFI contract for c. 20% of the Gloucestershire Royal Hospital site and the Parking Contract for the Trust</w:t>
            </w:r>
            <w:r w:rsidR="00B83DE4" w:rsidRPr="00B223E5">
              <w:rPr>
                <w:rFonts w:asciiTheme="minorHAnsi" w:hAnsiTheme="minorHAnsi" w:cstheme="minorHAnsi"/>
                <w:color w:val="auto"/>
              </w:rPr>
              <w:t>.</w:t>
            </w:r>
          </w:p>
          <w:p w14:paraId="515E88E4" w14:textId="03E50D00" w:rsidR="00B83DE4" w:rsidRDefault="008136A8" w:rsidP="008136A8">
            <w:pPr>
              <w:pStyle w:val="ListParagraph"/>
              <w:autoSpaceDE w:val="0"/>
              <w:autoSpaceDN w:val="0"/>
              <w:adjustRightInd w:val="0"/>
              <w:spacing w:after="0" w:line="240" w:lineRule="auto"/>
              <w:ind w:left="360" w:firstLine="0"/>
              <w:textboxTightWrap w:val="none"/>
              <w:rPr>
                <w:rFonts w:asciiTheme="minorHAnsi" w:hAnsiTheme="minorHAnsi" w:cstheme="minorHAnsi"/>
                <w:color w:val="auto"/>
              </w:rPr>
            </w:pPr>
            <w:r>
              <w:rPr>
                <w:rFonts w:asciiTheme="minorHAnsi" w:hAnsiTheme="minorHAnsi" w:cstheme="minorHAnsi"/>
                <w:color w:val="auto"/>
              </w:rPr>
              <w:t>Overall g</w:t>
            </w:r>
            <w:r w:rsidR="00B83DE4" w:rsidRPr="00B223E5">
              <w:rPr>
                <w:rFonts w:asciiTheme="minorHAnsi" w:hAnsiTheme="minorHAnsi" w:cstheme="minorHAnsi"/>
                <w:color w:val="auto"/>
              </w:rPr>
              <w:t>overnance</w:t>
            </w:r>
            <w:r>
              <w:rPr>
                <w:rFonts w:asciiTheme="minorHAnsi" w:hAnsiTheme="minorHAnsi" w:cstheme="minorHAnsi"/>
                <w:color w:val="auto"/>
              </w:rPr>
              <w:t xml:space="preserve"> for GHFT is via the</w:t>
            </w:r>
            <w:r w:rsidR="00B83DE4" w:rsidRPr="00B223E5">
              <w:rPr>
                <w:rFonts w:asciiTheme="minorHAnsi" w:hAnsiTheme="minorHAnsi" w:cstheme="minorHAnsi"/>
                <w:color w:val="auto"/>
              </w:rPr>
              <w:t xml:space="preserve"> Finance and Resources Committee</w:t>
            </w:r>
            <w:r>
              <w:rPr>
                <w:rFonts w:asciiTheme="minorHAnsi" w:hAnsiTheme="minorHAnsi" w:cstheme="minorHAnsi"/>
                <w:color w:val="auto"/>
              </w:rPr>
              <w:t>.</w:t>
            </w:r>
          </w:p>
          <w:bookmarkEnd w:id="2"/>
          <w:p w14:paraId="56D95CCC" w14:textId="77777777" w:rsidR="00D27FFB" w:rsidRPr="00E461C7" w:rsidRDefault="00D27FFB" w:rsidP="00D27FFB">
            <w:pPr>
              <w:pStyle w:val="ListParagraph"/>
              <w:autoSpaceDE w:val="0"/>
              <w:autoSpaceDN w:val="0"/>
              <w:adjustRightInd w:val="0"/>
              <w:spacing w:after="0" w:line="240" w:lineRule="auto"/>
              <w:ind w:left="360" w:firstLine="0"/>
              <w:textboxTightWrap w:val="none"/>
              <w:rPr>
                <w:rFonts w:asciiTheme="minorHAnsi" w:hAnsiTheme="minorHAnsi" w:cstheme="minorHAnsi"/>
                <w:color w:val="auto"/>
              </w:rPr>
            </w:pPr>
          </w:p>
          <w:p w14:paraId="07DB204F" w14:textId="3EDE7423" w:rsidR="00E461C7" w:rsidRPr="00E461C7" w:rsidRDefault="00E461C7" w:rsidP="00E461C7">
            <w:pPr>
              <w:pStyle w:val="ListParagraph"/>
              <w:numPr>
                <w:ilvl w:val="0"/>
                <w:numId w:val="33"/>
              </w:numPr>
              <w:autoSpaceDE w:val="0"/>
              <w:autoSpaceDN w:val="0"/>
              <w:adjustRightInd w:val="0"/>
              <w:spacing w:after="0" w:line="240" w:lineRule="auto"/>
              <w:textboxTightWrap w:val="none"/>
              <w:rPr>
                <w:rFonts w:asciiTheme="minorHAnsi" w:hAnsiTheme="minorHAnsi" w:cstheme="minorHAnsi"/>
                <w:color w:val="auto"/>
              </w:rPr>
            </w:pPr>
            <w:r w:rsidRPr="00E461C7">
              <w:rPr>
                <w:rFonts w:asciiTheme="minorHAnsi" w:hAnsiTheme="minorHAnsi" w:cstheme="minorHAnsi"/>
                <w:color w:val="auto"/>
              </w:rPr>
              <w:t xml:space="preserve">GH&amp;C has an “in house” E&amp;FM team that provides most hard and soft </w:t>
            </w:r>
            <w:r>
              <w:rPr>
                <w:rFonts w:asciiTheme="minorHAnsi" w:hAnsiTheme="minorHAnsi" w:cstheme="minorHAnsi"/>
                <w:color w:val="auto"/>
              </w:rPr>
              <w:t>facilities management</w:t>
            </w:r>
            <w:r w:rsidRPr="00E461C7">
              <w:rPr>
                <w:rFonts w:asciiTheme="minorHAnsi" w:hAnsiTheme="minorHAnsi" w:cstheme="minorHAnsi"/>
                <w:color w:val="auto"/>
              </w:rPr>
              <w:t xml:space="preserve"> services. Some specialist services are delivered by GMS and cleaning services on some sites are purchased from other providers. </w:t>
            </w:r>
          </w:p>
          <w:p w14:paraId="3D81C801" w14:textId="77777777" w:rsidR="00D27FFB" w:rsidRDefault="00D27FFB" w:rsidP="002916EE">
            <w:pPr>
              <w:rPr>
                <w:rFonts w:cs="Arial"/>
                <w:color w:val="auto"/>
                <w:u w:val="single"/>
              </w:rPr>
            </w:pPr>
          </w:p>
          <w:p w14:paraId="50B750B9" w14:textId="6BC9F325" w:rsidR="002916EE" w:rsidRPr="002916EE" w:rsidRDefault="002916EE" w:rsidP="002916EE">
            <w:pPr>
              <w:rPr>
                <w:rFonts w:cs="Arial"/>
                <w:color w:val="auto"/>
                <w:u w:val="single"/>
              </w:rPr>
            </w:pPr>
            <w:r w:rsidRPr="002916EE">
              <w:rPr>
                <w:rFonts w:cs="Arial"/>
                <w:color w:val="auto"/>
                <w:u w:val="single"/>
              </w:rPr>
              <w:t>CQC Ratings</w:t>
            </w:r>
          </w:p>
          <w:p w14:paraId="6C620D0A" w14:textId="08468437" w:rsidR="002F00DF" w:rsidRPr="00D27FFB" w:rsidRDefault="00D27FFB" w:rsidP="00B53BA6">
            <w:pPr>
              <w:rPr>
                <w:rFonts w:cs="Arial"/>
                <w:i/>
                <w:iCs/>
                <w:color w:val="FF0000"/>
                <w:u w:val="single"/>
              </w:rPr>
            </w:pPr>
            <w:r w:rsidRPr="00D27FFB">
              <w:rPr>
                <w:rFonts w:cs="Arial"/>
                <w:u w:val="single"/>
              </w:rPr>
              <w:t>GHC</w:t>
            </w:r>
          </w:p>
          <w:p w14:paraId="6CE856A6" w14:textId="03DBE434" w:rsidR="0032671C" w:rsidRPr="00D27FFB" w:rsidRDefault="0032671C" w:rsidP="0032671C">
            <w:pPr>
              <w:rPr>
                <w:rFonts w:asciiTheme="minorHAnsi" w:hAnsiTheme="minorHAnsi" w:cstheme="minorHAnsi"/>
              </w:rPr>
            </w:pPr>
            <w:r w:rsidRPr="00D27FFB">
              <w:rPr>
                <w:rFonts w:asciiTheme="minorHAnsi" w:hAnsiTheme="minorHAnsi" w:cstheme="minorHAnsi"/>
              </w:rPr>
              <w:t>GHC have an overall rating of ‘Good’ assigned during a Core and Well Led inspection in 2022. The inspection highlighted two areas for improvement and were classified as essential actions known as ‘Must Do’s’, as follows:</w:t>
            </w:r>
          </w:p>
          <w:p w14:paraId="4ADB553F" w14:textId="77777777" w:rsidR="0032671C" w:rsidRPr="00D27FFB" w:rsidRDefault="0032671C" w:rsidP="0032671C">
            <w:pPr>
              <w:numPr>
                <w:ilvl w:val="0"/>
                <w:numId w:val="36"/>
              </w:numPr>
              <w:spacing w:before="100" w:beforeAutospacing="1" w:after="100" w:afterAutospacing="1" w:line="240" w:lineRule="auto"/>
              <w:textboxTightWrap w:val="none"/>
              <w:rPr>
                <w:rFonts w:asciiTheme="minorHAnsi" w:hAnsiTheme="minorHAnsi" w:cstheme="minorHAnsi"/>
              </w:rPr>
            </w:pPr>
            <w:r w:rsidRPr="00D27FFB">
              <w:rPr>
                <w:rFonts w:asciiTheme="minorHAnsi" w:hAnsiTheme="minorHAnsi" w:cstheme="minorHAnsi"/>
              </w:rPr>
              <w:t>The physical monitoring of patients after receiving Rapid Tranquilisation medication.</w:t>
            </w:r>
          </w:p>
          <w:p w14:paraId="5B62328B" w14:textId="77777777" w:rsidR="0032671C" w:rsidRPr="00D27FFB" w:rsidRDefault="0032671C" w:rsidP="0032671C">
            <w:pPr>
              <w:numPr>
                <w:ilvl w:val="0"/>
                <w:numId w:val="36"/>
              </w:numPr>
              <w:spacing w:before="100" w:beforeAutospacing="1" w:after="100" w:afterAutospacing="1" w:line="240" w:lineRule="auto"/>
              <w:textboxTightWrap w:val="none"/>
              <w:rPr>
                <w:rFonts w:asciiTheme="minorHAnsi" w:hAnsiTheme="minorHAnsi" w:cstheme="minorHAnsi"/>
              </w:rPr>
            </w:pPr>
            <w:r w:rsidRPr="00D27FFB">
              <w:rPr>
                <w:rFonts w:asciiTheme="minorHAnsi" w:hAnsiTheme="minorHAnsi" w:cstheme="minorHAnsi"/>
              </w:rPr>
              <w:t>Personal emergency evacuation plans (PEEP) for people who may need assistance to evacuate a building.</w:t>
            </w:r>
          </w:p>
          <w:p w14:paraId="43447F67" w14:textId="04FED7F8" w:rsidR="0032671C" w:rsidRPr="00D27FFB" w:rsidRDefault="0032671C" w:rsidP="0032671C">
            <w:pPr>
              <w:rPr>
                <w:rFonts w:asciiTheme="minorHAnsi" w:hAnsiTheme="minorHAnsi" w:cstheme="minorHAnsi"/>
              </w:rPr>
            </w:pPr>
            <w:r w:rsidRPr="00D27FFB">
              <w:rPr>
                <w:rFonts w:asciiTheme="minorHAnsi" w:hAnsiTheme="minorHAnsi" w:cstheme="minorHAnsi"/>
              </w:rPr>
              <w:lastRenderedPageBreak/>
              <w:t>Local procedural changes were completed and are now embedded into practice within those clinical areas.  This inspection and subsequent Mental Health Act Commissioner visits in 2025 have not identified any significant issues in GHC estates or equipment that would directly impact or improve the current CQC rating.  </w:t>
            </w:r>
          </w:p>
          <w:p w14:paraId="10940563" w14:textId="19755A8D" w:rsidR="002F00DF" w:rsidRPr="00D27FFB" w:rsidRDefault="002F00DF" w:rsidP="002F00DF">
            <w:pPr>
              <w:rPr>
                <w:rFonts w:asciiTheme="minorHAnsi" w:hAnsiTheme="minorHAnsi" w:cstheme="minorHAnsi"/>
                <w:color w:val="auto"/>
                <w:lang w:eastAsia="en-US"/>
              </w:rPr>
            </w:pPr>
            <w:r w:rsidRPr="00D27FFB">
              <w:rPr>
                <w:rFonts w:asciiTheme="minorHAnsi" w:hAnsiTheme="minorHAnsi" w:cstheme="minorHAnsi"/>
              </w:rPr>
              <w:t>No significant issues in GHC estates or equipment have been raised by CQC that would directly impact or improve CQC assessment. Some minor works have been commissioned following observations during MHA inspections although they would not impact the GHC rating, but these are not capital in nature.  </w:t>
            </w:r>
          </w:p>
          <w:p w14:paraId="7A2C329F" w14:textId="77777777" w:rsidR="00B83DE4" w:rsidRDefault="00B83DE4" w:rsidP="00B83DE4">
            <w:pPr>
              <w:rPr>
                <w:rFonts w:cs="Arial"/>
                <w:u w:val="single"/>
              </w:rPr>
            </w:pPr>
            <w:r>
              <w:rPr>
                <w:rFonts w:cs="Arial"/>
                <w:u w:val="single"/>
              </w:rPr>
              <w:t>GHFT</w:t>
            </w:r>
          </w:p>
          <w:p w14:paraId="641394F1" w14:textId="45AF1B24" w:rsidR="00CA1AA6" w:rsidRPr="00D27FFB" w:rsidRDefault="00B83DE4" w:rsidP="00D27FFB">
            <w:pPr>
              <w:rPr>
                <w:rFonts w:cs="Arial"/>
              </w:rPr>
            </w:pPr>
            <w:r>
              <w:rPr>
                <w:rFonts w:cs="Arial"/>
              </w:rPr>
              <w:t xml:space="preserve">GHFT has an overall CQC rating of </w:t>
            </w:r>
            <w:r w:rsidRPr="00936206">
              <w:rPr>
                <w:rFonts w:cs="Arial"/>
                <w:color w:val="auto"/>
              </w:rPr>
              <w:t>Requires Improvement</w:t>
            </w:r>
            <w:r>
              <w:rPr>
                <w:rFonts w:cs="Arial"/>
              </w:rPr>
              <w:t xml:space="preserve">.  Standards cover infection control, cleanliness, patient experience, access and so on.  Patient safety is paramount and with that consideration, certain schemes in the plan are directly linked to delivering a safer estate, such as the fire alarm scheme, the nurse call scheme and improvements to our water, fire and electrical infrastructure.  </w:t>
            </w:r>
            <w:bookmarkStart w:id="3" w:name="_Hlk201337975"/>
            <w:r>
              <w:rPr>
                <w:rFonts w:cs="Arial"/>
              </w:rPr>
              <w:t xml:space="preserve">However, there are also </w:t>
            </w:r>
            <w:proofErr w:type="gramStart"/>
            <w:r>
              <w:rPr>
                <w:rFonts w:cs="Arial"/>
              </w:rPr>
              <w:t>a number of</w:t>
            </w:r>
            <w:proofErr w:type="gramEnd"/>
            <w:r>
              <w:rPr>
                <w:rFonts w:cs="Arial"/>
              </w:rPr>
              <w:t xml:space="preserve"> individual schemes that directly link to a </w:t>
            </w:r>
            <w:proofErr w:type="gramStart"/>
            <w:r>
              <w:rPr>
                <w:rFonts w:cs="Arial"/>
              </w:rPr>
              <w:t>specific area</w:t>
            </w:r>
            <w:r w:rsidR="008C6E62">
              <w:rPr>
                <w:rFonts w:cs="Arial"/>
              </w:rPr>
              <w:t>s</w:t>
            </w:r>
            <w:proofErr w:type="gramEnd"/>
            <w:r>
              <w:rPr>
                <w:rFonts w:cs="Arial"/>
              </w:rPr>
              <w:t>: for example, the RO water plant in our in-patient dialysis bay</w:t>
            </w:r>
            <w:r w:rsidR="008C6E62">
              <w:rPr>
                <w:rFonts w:cs="Arial"/>
              </w:rPr>
              <w:t xml:space="preserve"> </w:t>
            </w:r>
            <w:r>
              <w:rPr>
                <w:rFonts w:cs="Arial"/>
              </w:rPr>
              <w:t xml:space="preserve">is </w:t>
            </w:r>
            <w:r w:rsidR="008C6E62">
              <w:rPr>
                <w:rFonts w:cs="Arial"/>
              </w:rPr>
              <w:t xml:space="preserve">due for replacement and so is one of our </w:t>
            </w:r>
            <w:r>
              <w:rPr>
                <w:rFonts w:cs="Arial"/>
              </w:rPr>
              <w:t>s</w:t>
            </w:r>
            <w:r w:rsidR="008C6E62">
              <w:rPr>
                <w:rFonts w:cs="Arial"/>
              </w:rPr>
              <w:t>chemes over the next 12 months</w:t>
            </w:r>
            <w:bookmarkEnd w:id="3"/>
            <w:r>
              <w:rPr>
                <w:rFonts w:cs="Arial"/>
              </w:rPr>
              <w:t>.  Patient experience is also important, so schemes such as our water improvements will address shower replacements across the sites: whilst this is related to safety and infection control, the patient experience will also improve as a result.</w:t>
            </w:r>
          </w:p>
        </w:tc>
      </w:tr>
    </w:tbl>
    <w:p w14:paraId="3682E25C" w14:textId="77777777" w:rsidR="0055353C" w:rsidRPr="007A2C46" w:rsidRDefault="0055353C" w:rsidP="0055353C">
      <w:pPr>
        <w:rPr>
          <w:rFonts w:cs="Arial"/>
          <w:b/>
          <w:bCs/>
          <w:color w:val="auto"/>
          <w:sz w:val="14"/>
          <w:szCs w:val="1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54"/>
      </w:tblGrid>
      <w:tr w:rsidR="00333DD0" w:rsidRPr="007A2C46" w14:paraId="1CBF4922" w14:textId="77777777">
        <w:trPr>
          <w:trHeight w:val="605"/>
        </w:trPr>
        <w:tc>
          <w:tcPr>
            <w:tcW w:w="9355" w:type="dxa"/>
            <w:shd w:val="clear" w:color="auto" w:fill="0070C0"/>
            <w:vAlign w:val="center"/>
          </w:tcPr>
          <w:p w14:paraId="46574357" w14:textId="7799F461" w:rsidR="00333DD0" w:rsidRPr="007A2C46" w:rsidRDefault="00333DD0">
            <w:pPr>
              <w:rPr>
                <w:rFonts w:cs="Arial"/>
                <w:i/>
                <w:iCs/>
                <w:color w:val="FFFFFF" w:themeColor="text1"/>
                <w:sz w:val="18"/>
                <w:szCs w:val="18"/>
              </w:rPr>
            </w:pPr>
            <w:r w:rsidRPr="007A2C46">
              <w:rPr>
                <w:rFonts w:cs="Arial"/>
                <w:b/>
                <w:bCs/>
                <w:color w:val="FFFFFF" w:themeColor="text1"/>
              </w:rPr>
              <w:t>202</w:t>
            </w:r>
            <w:r w:rsidR="00EA5002" w:rsidRPr="007A2C46">
              <w:rPr>
                <w:rFonts w:cs="Arial"/>
                <w:b/>
                <w:bCs/>
                <w:color w:val="FFFFFF" w:themeColor="text1"/>
              </w:rPr>
              <w:t>5</w:t>
            </w:r>
            <w:r w:rsidRPr="007A2C46">
              <w:rPr>
                <w:rFonts w:cs="Arial"/>
                <w:b/>
                <w:bCs/>
                <w:color w:val="FFFFFF" w:themeColor="text1"/>
              </w:rPr>
              <w:t>/2</w:t>
            </w:r>
            <w:r w:rsidR="00EA5002" w:rsidRPr="007A2C46">
              <w:rPr>
                <w:rFonts w:cs="Arial"/>
                <w:b/>
                <w:bCs/>
                <w:color w:val="FFFFFF" w:themeColor="text1"/>
              </w:rPr>
              <w:t>6</w:t>
            </w:r>
            <w:r w:rsidRPr="007A2C46">
              <w:rPr>
                <w:rFonts w:cs="Arial"/>
                <w:b/>
                <w:bCs/>
                <w:color w:val="FFFFFF" w:themeColor="text1"/>
              </w:rPr>
              <w:t xml:space="preserve"> CDEL allocations and sources of funding</w:t>
            </w:r>
          </w:p>
        </w:tc>
      </w:tr>
      <w:tr w:rsidR="00333DD0" w:rsidRPr="007A2C46" w14:paraId="535EA7F6" w14:textId="77777777">
        <w:trPr>
          <w:trHeight w:val="132"/>
        </w:trPr>
        <w:tc>
          <w:tcPr>
            <w:tcW w:w="9355" w:type="dxa"/>
            <w:shd w:val="clear" w:color="auto" w:fill="auto"/>
          </w:tcPr>
          <w:p w14:paraId="3098E9BC" w14:textId="7E3CD647" w:rsidR="00327E3E" w:rsidRPr="00355691" w:rsidRDefault="00327E3E" w:rsidP="00327E3E">
            <w:pPr>
              <w:rPr>
                <w:rFonts w:cs="Arial"/>
                <w:i/>
                <w:iCs/>
                <w:color w:val="FF0000"/>
                <w:sz w:val="22"/>
                <w:szCs w:val="22"/>
              </w:rPr>
            </w:pPr>
            <w:r>
              <w:rPr>
                <w:rFonts w:cs="Arial"/>
                <w:color w:val="auto"/>
                <w:sz w:val="22"/>
                <w:szCs w:val="22"/>
              </w:rPr>
              <w:t>The main source of funding for the System capital programme is the System operational capital resource limit (resources through internally generated funding, cash and depreciation within organisations), other sources include disposals, national programme funding for specific schemes, capital grants and national funding for new leases under IFRS 16.  The total programme funding is shown below.</w:t>
            </w:r>
            <w:r w:rsidR="00355691">
              <w:rPr>
                <w:rFonts w:cs="Arial"/>
                <w:color w:val="auto"/>
                <w:sz w:val="22"/>
                <w:szCs w:val="22"/>
              </w:rPr>
              <w:t xml:space="preserve"> </w:t>
            </w:r>
          </w:p>
          <w:tbl>
            <w:tblPr>
              <w:tblW w:w="9628" w:type="dxa"/>
              <w:tblLook w:val="04A0" w:firstRow="1" w:lastRow="0" w:firstColumn="1" w:lastColumn="0" w:noHBand="0" w:noVBand="1"/>
            </w:tblPr>
            <w:tblGrid>
              <w:gridCol w:w="1931"/>
              <w:gridCol w:w="271"/>
              <w:gridCol w:w="2324"/>
              <w:gridCol w:w="998"/>
              <w:gridCol w:w="875"/>
              <w:gridCol w:w="1137"/>
              <w:gridCol w:w="1028"/>
              <w:gridCol w:w="1064"/>
            </w:tblGrid>
            <w:tr w:rsidR="0047462B" w:rsidRPr="0047462B" w14:paraId="7F7AF37D" w14:textId="77777777" w:rsidTr="0047462B">
              <w:trPr>
                <w:trHeight w:val="290"/>
              </w:trPr>
              <w:tc>
                <w:tcPr>
                  <w:tcW w:w="1931" w:type="dxa"/>
                  <w:vMerge w:val="restart"/>
                  <w:tcBorders>
                    <w:top w:val="single" w:sz="4" w:space="0" w:color="auto"/>
                    <w:left w:val="single" w:sz="4" w:space="0" w:color="auto"/>
                    <w:bottom w:val="single" w:sz="4" w:space="0" w:color="auto"/>
                    <w:right w:val="nil"/>
                  </w:tcBorders>
                  <w:shd w:val="clear" w:color="000000" w:fill="FFFFFF"/>
                  <w:noWrap/>
                  <w:vAlign w:val="center"/>
                  <w:hideMark/>
                </w:tcPr>
                <w:p w14:paraId="40A607E9" w14:textId="6BF6A58E" w:rsidR="0047462B" w:rsidRPr="0047462B" w:rsidRDefault="0047462B" w:rsidP="0047462B">
                  <w:pPr>
                    <w:spacing w:after="0" w:line="240" w:lineRule="auto"/>
                    <w:textboxTightWrap w:val="none"/>
                    <w:rPr>
                      <w:rFonts w:ascii="Arial Narrow" w:hAnsi="Arial Narrow" w:cs="Calibri"/>
                      <w:b/>
                      <w:bCs/>
                      <w:lang w:eastAsia="en-GB"/>
                    </w:rPr>
                  </w:pPr>
                </w:p>
              </w:tc>
              <w:tc>
                <w:tcPr>
                  <w:tcW w:w="271" w:type="dxa"/>
                  <w:tcBorders>
                    <w:top w:val="single" w:sz="4" w:space="0" w:color="auto"/>
                    <w:left w:val="nil"/>
                    <w:bottom w:val="nil"/>
                    <w:right w:val="nil"/>
                  </w:tcBorders>
                  <w:shd w:val="clear" w:color="000000" w:fill="FFFFFF"/>
                  <w:noWrap/>
                  <w:vAlign w:val="center"/>
                  <w:hideMark/>
                </w:tcPr>
                <w:p w14:paraId="3C8A3BB4"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vMerge w:val="restart"/>
                  <w:tcBorders>
                    <w:top w:val="single" w:sz="4" w:space="0" w:color="auto"/>
                    <w:left w:val="nil"/>
                    <w:bottom w:val="single" w:sz="4" w:space="0" w:color="auto"/>
                    <w:right w:val="single" w:sz="4" w:space="0" w:color="auto"/>
                  </w:tcBorders>
                  <w:shd w:val="clear" w:color="000000" w:fill="FFFFFF"/>
                  <w:noWrap/>
                  <w:vAlign w:val="center"/>
                  <w:hideMark/>
                </w:tcPr>
                <w:p w14:paraId="1E213BDD" w14:textId="77777777" w:rsidR="0047462B" w:rsidRPr="0047462B" w:rsidRDefault="0047462B" w:rsidP="0047462B">
                  <w:pPr>
                    <w:spacing w:after="0" w:line="240" w:lineRule="auto"/>
                    <w:jc w:val="center"/>
                    <w:textboxTightWrap w:val="none"/>
                    <w:rPr>
                      <w:rFonts w:ascii="Arial Narrow" w:hAnsi="Arial Narrow" w:cs="Calibri"/>
                      <w:b/>
                      <w:bCs/>
                      <w:lang w:eastAsia="en-GB"/>
                    </w:rPr>
                  </w:pPr>
                  <w:r w:rsidRPr="0047462B">
                    <w:rPr>
                      <w:rFonts w:ascii="Arial Narrow" w:hAnsi="Arial Narrow" w:cs="Calibri"/>
                      <w:b/>
                      <w:bCs/>
                      <w:lang w:eastAsia="en-GB"/>
                    </w:rPr>
                    <w:t> </w:t>
                  </w:r>
                </w:p>
              </w:tc>
              <w:tc>
                <w:tcPr>
                  <w:tcW w:w="5102" w:type="dxa"/>
                  <w:gridSpan w:val="5"/>
                  <w:tcBorders>
                    <w:top w:val="single" w:sz="4" w:space="0" w:color="auto"/>
                    <w:left w:val="nil"/>
                    <w:bottom w:val="single" w:sz="4" w:space="0" w:color="auto"/>
                    <w:right w:val="single" w:sz="4" w:space="0" w:color="000000"/>
                  </w:tcBorders>
                  <w:shd w:val="clear" w:color="000000" w:fill="C6E0B4"/>
                  <w:vAlign w:val="center"/>
                  <w:hideMark/>
                </w:tcPr>
                <w:p w14:paraId="7C024E18" w14:textId="77777777" w:rsidR="0047462B" w:rsidRPr="0047462B" w:rsidRDefault="0047462B" w:rsidP="0047462B">
                  <w:pPr>
                    <w:spacing w:after="0" w:line="240" w:lineRule="auto"/>
                    <w:jc w:val="center"/>
                    <w:textboxTightWrap w:val="none"/>
                    <w:rPr>
                      <w:rFonts w:ascii="Arial Narrow" w:hAnsi="Arial Narrow" w:cs="Calibri"/>
                      <w:b/>
                      <w:bCs/>
                      <w:lang w:eastAsia="en-GB"/>
                    </w:rPr>
                  </w:pPr>
                  <w:r w:rsidRPr="0047462B">
                    <w:rPr>
                      <w:rFonts w:ascii="Arial Narrow" w:hAnsi="Arial Narrow" w:cs="Calibri"/>
                      <w:b/>
                      <w:bCs/>
                      <w:lang w:eastAsia="en-GB"/>
                    </w:rPr>
                    <w:t>25/</w:t>
                  </w:r>
                  <w:proofErr w:type="gramStart"/>
                  <w:r w:rsidRPr="0047462B">
                    <w:rPr>
                      <w:rFonts w:ascii="Arial Narrow" w:hAnsi="Arial Narrow" w:cs="Calibri"/>
                      <w:b/>
                      <w:bCs/>
                      <w:lang w:eastAsia="en-GB"/>
                    </w:rPr>
                    <w:t>26  Capital</w:t>
                  </w:r>
                  <w:proofErr w:type="gramEnd"/>
                  <w:r w:rsidRPr="0047462B">
                    <w:rPr>
                      <w:rFonts w:ascii="Arial Narrow" w:hAnsi="Arial Narrow" w:cs="Calibri"/>
                      <w:b/>
                      <w:bCs/>
                      <w:lang w:eastAsia="en-GB"/>
                    </w:rPr>
                    <w:t xml:space="preserve"> Plan</w:t>
                  </w:r>
                </w:p>
              </w:tc>
            </w:tr>
            <w:tr w:rsidR="0047462B" w:rsidRPr="0047462B" w14:paraId="429483D5" w14:textId="77777777" w:rsidTr="0047462B">
              <w:trPr>
                <w:trHeight w:val="1100"/>
              </w:trPr>
              <w:tc>
                <w:tcPr>
                  <w:tcW w:w="1931" w:type="dxa"/>
                  <w:vMerge/>
                  <w:tcBorders>
                    <w:top w:val="single" w:sz="4" w:space="0" w:color="auto"/>
                    <w:left w:val="single" w:sz="4" w:space="0" w:color="auto"/>
                    <w:bottom w:val="single" w:sz="4" w:space="0" w:color="auto"/>
                    <w:right w:val="nil"/>
                  </w:tcBorders>
                  <w:vAlign w:val="center"/>
                  <w:hideMark/>
                </w:tcPr>
                <w:p w14:paraId="2ADBFD85" w14:textId="77777777" w:rsidR="0047462B" w:rsidRPr="0047462B" w:rsidRDefault="0047462B" w:rsidP="0047462B">
                  <w:pPr>
                    <w:spacing w:after="0" w:line="240" w:lineRule="auto"/>
                    <w:textboxTightWrap w:val="none"/>
                    <w:rPr>
                      <w:rFonts w:ascii="Arial Narrow" w:hAnsi="Arial Narrow" w:cs="Calibri"/>
                      <w:b/>
                      <w:bCs/>
                      <w:lang w:eastAsia="en-GB"/>
                    </w:rPr>
                  </w:pPr>
                </w:p>
              </w:tc>
              <w:tc>
                <w:tcPr>
                  <w:tcW w:w="271" w:type="dxa"/>
                  <w:tcBorders>
                    <w:top w:val="nil"/>
                    <w:left w:val="nil"/>
                    <w:bottom w:val="single" w:sz="4" w:space="0" w:color="auto"/>
                    <w:right w:val="nil"/>
                  </w:tcBorders>
                  <w:shd w:val="clear" w:color="000000" w:fill="FFFFFF"/>
                  <w:noWrap/>
                  <w:vAlign w:val="center"/>
                  <w:hideMark/>
                </w:tcPr>
                <w:p w14:paraId="54999B93"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vMerge/>
                  <w:tcBorders>
                    <w:top w:val="single" w:sz="4" w:space="0" w:color="auto"/>
                    <w:left w:val="nil"/>
                    <w:bottom w:val="single" w:sz="4" w:space="0" w:color="auto"/>
                    <w:right w:val="single" w:sz="4" w:space="0" w:color="auto"/>
                  </w:tcBorders>
                  <w:vAlign w:val="center"/>
                  <w:hideMark/>
                </w:tcPr>
                <w:p w14:paraId="23F24273" w14:textId="77777777" w:rsidR="0047462B" w:rsidRPr="0047462B" w:rsidRDefault="0047462B" w:rsidP="0047462B">
                  <w:pPr>
                    <w:spacing w:after="0" w:line="240" w:lineRule="auto"/>
                    <w:textboxTightWrap w:val="none"/>
                    <w:rPr>
                      <w:rFonts w:ascii="Arial Narrow" w:hAnsi="Arial Narrow" w:cs="Calibri"/>
                      <w:b/>
                      <w:bCs/>
                      <w:lang w:eastAsia="en-GB"/>
                    </w:rPr>
                  </w:pPr>
                </w:p>
              </w:tc>
              <w:tc>
                <w:tcPr>
                  <w:tcW w:w="998" w:type="dxa"/>
                  <w:tcBorders>
                    <w:top w:val="nil"/>
                    <w:left w:val="nil"/>
                    <w:bottom w:val="single" w:sz="4" w:space="0" w:color="auto"/>
                    <w:right w:val="single" w:sz="4" w:space="0" w:color="auto"/>
                  </w:tcBorders>
                  <w:shd w:val="clear" w:color="000000" w:fill="FFFFFF"/>
                  <w:vAlign w:val="center"/>
                  <w:hideMark/>
                </w:tcPr>
                <w:p w14:paraId="1FEC0CC5" w14:textId="77777777" w:rsidR="0047462B" w:rsidRPr="0047462B" w:rsidRDefault="0047462B" w:rsidP="0047462B">
                  <w:pPr>
                    <w:spacing w:after="0" w:line="240" w:lineRule="auto"/>
                    <w:jc w:val="center"/>
                    <w:textboxTightWrap w:val="none"/>
                    <w:rPr>
                      <w:rFonts w:ascii="Arial Narrow" w:hAnsi="Arial Narrow" w:cs="Calibri"/>
                      <w:b/>
                      <w:bCs/>
                      <w:lang w:eastAsia="en-GB"/>
                    </w:rPr>
                  </w:pPr>
                  <w:r w:rsidRPr="0047462B">
                    <w:rPr>
                      <w:rFonts w:ascii="Arial Narrow" w:hAnsi="Arial Narrow" w:cs="Calibri"/>
                      <w:b/>
                      <w:bCs/>
                      <w:lang w:eastAsia="en-GB"/>
                    </w:rPr>
                    <w:t>GHFT</w:t>
                  </w:r>
                  <w:r w:rsidRPr="0047462B">
                    <w:rPr>
                      <w:rFonts w:ascii="Arial Narrow" w:hAnsi="Arial Narrow" w:cs="Calibri"/>
                      <w:b/>
                      <w:bCs/>
                      <w:lang w:eastAsia="en-GB"/>
                    </w:rPr>
                    <w:br/>
                    <w:t>£000's</w:t>
                  </w:r>
                </w:p>
              </w:tc>
              <w:tc>
                <w:tcPr>
                  <w:tcW w:w="875" w:type="dxa"/>
                  <w:tcBorders>
                    <w:top w:val="nil"/>
                    <w:left w:val="nil"/>
                    <w:bottom w:val="single" w:sz="4" w:space="0" w:color="auto"/>
                    <w:right w:val="single" w:sz="4" w:space="0" w:color="auto"/>
                  </w:tcBorders>
                  <w:shd w:val="clear" w:color="000000" w:fill="FFFFFF"/>
                  <w:vAlign w:val="center"/>
                  <w:hideMark/>
                </w:tcPr>
                <w:p w14:paraId="3DB2B6FC" w14:textId="77777777" w:rsidR="0047462B" w:rsidRPr="0047462B" w:rsidRDefault="0047462B" w:rsidP="0047462B">
                  <w:pPr>
                    <w:spacing w:after="0" w:line="240" w:lineRule="auto"/>
                    <w:jc w:val="center"/>
                    <w:textboxTightWrap w:val="none"/>
                    <w:rPr>
                      <w:rFonts w:ascii="Arial Narrow" w:hAnsi="Arial Narrow" w:cs="Calibri"/>
                      <w:b/>
                      <w:bCs/>
                      <w:lang w:eastAsia="en-GB"/>
                    </w:rPr>
                  </w:pPr>
                  <w:r w:rsidRPr="0047462B">
                    <w:rPr>
                      <w:rFonts w:ascii="Arial Narrow" w:hAnsi="Arial Narrow" w:cs="Calibri"/>
                      <w:b/>
                      <w:bCs/>
                      <w:lang w:eastAsia="en-GB"/>
                    </w:rPr>
                    <w:t>GHC</w:t>
                  </w:r>
                  <w:r w:rsidRPr="0047462B">
                    <w:rPr>
                      <w:rFonts w:ascii="Arial Narrow" w:hAnsi="Arial Narrow" w:cs="Calibri"/>
                      <w:b/>
                      <w:bCs/>
                      <w:lang w:eastAsia="en-GB"/>
                    </w:rPr>
                    <w:br/>
                    <w:t>£'000</w:t>
                  </w:r>
                </w:p>
              </w:tc>
              <w:tc>
                <w:tcPr>
                  <w:tcW w:w="1137" w:type="dxa"/>
                  <w:tcBorders>
                    <w:top w:val="nil"/>
                    <w:left w:val="nil"/>
                    <w:bottom w:val="single" w:sz="4" w:space="0" w:color="auto"/>
                    <w:right w:val="single" w:sz="4" w:space="0" w:color="auto"/>
                  </w:tcBorders>
                  <w:shd w:val="clear" w:color="000000" w:fill="FFFFFF"/>
                  <w:vAlign w:val="center"/>
                  <w:hideMark/>
                </w:tcPr>
                <w:p w14:paraId="0C22BE16" w14:textId="77777777" w:rsidR="0047462B" w:rsidRPr="0047462B" w:rsidRDefault="0047462B" w:rsidP="0047462B">
                  <w:pPr>
                    <w:spacing w:after="0" w:line="240" w:lineRule="auto"/>
                    <w:jc w:val="center"/>
                    <w:textboxTightWrap w:val="none"/>
                    <w:rPr>
                      <w:rFonts w:ascii="Arial Narrow" w:hAnsi="Arial Narrow" w:cs="Calibri"/>
                      <w:b/>
                      <w:bCs/>
                      <w:lang w:eastAsia="en-GB"/>
                    </w:rPr>
                  </w:pPr>
                  <w:r w:rsidRPr="0047462B">
                    <w:rPr>
                      <w:rFonts w:ascii="Arial Narrow" w:hAnsi="Arial Narrow" w:cs="Calibri"/>
                      <w:b/>
                      <w:bCs/>
                      <w:lang w:eastAsia="en-GB"/>
                    </w:rPr>
                    <w:t>Primary Care</w:t>
                  </w:r>
                  <w:r w:rsidRPr="0047462B">
                    <w:rPr>
                      <w:rFonts w:ascii="Arial Narrow" w:hAnsi="Arial Narrow" w:cs="Calibri"/>
                      <w:b/>
                      <w:bCs/>
                      <w:lang w:eastAsia="en-GB"/>
                    </w:rPr>
                    <w:br/>
                    <w:t>£'000</w:t>
                  </w:r>
                </w:p>
              </w:tc>
              <w:tc>
                <w:tcPr>
                  <w:tcW w:w="1028" w:type="dxa"/>
                  <w:tcBorders>
                    <w:top w:val="nil"/>
                    <w:left w:val="nil"/>
                    <w:bottom w:val="single" w:sz="4" w:space="0" w:color="auto"/>
                    <w:right w:val="single" w:sz="4" w:space="0" w:color="auto"/>
                  </w:tcBorders>
                  <w:shd w:val="clear" w:color="000000" w:fill="FFFFFF"/>
                  <w:vAlign w:val="center"/>
                  <w:hideMark/>
                </w:tcPr>
                <w:p w14:paraId="2BE311FC" w14:textId="77777777" w:rsidR="0047462B" w:rsidRPr="0047462B" w:rsidRDefault="0047462B" w:rsidP="0047462B">
                  <w:pPr>
                    <w:spacing w:after="0" w:line="240" w:lineRule="auto"/>
                    <w:jc w:val="center"/>
                    <w:textboxTightWrap w:val="none"/>
                    <w:rPr>
                      <w:rFonts w:ascii="Arial Narrow" w:hAnsi="Arial Narrow" w:cs="Calibri"/>
                      <w:b/>
                      <w:bCs/>
                      <w:lang w:eastAsia="en-GB"/>
                    </w:rPr>
                  </w:pPr>
                  <w:r w:rsidRPr="0047462B">
                    <w:rPr>
                      <w:rFonts w:ascii="Arial Narrow" w:hAnsi="Arial Narrow" w:cs="Calibri"/>
                      <w:b/>
                      <w:bCs/>
                      <w:lang w:eastAsia="en-GB"/>
                    </w:rPr>
                    <w:t>ICB</w:t>
                  </w:r>
                  <w:r w:rsidRPr="0047462B">
                    <w:rPr>
                      <w:rFonts w:ascii="Arial Narrow" w:hAnsi="Arial Narrow" w:cs="Calibri"/>
                      <w:b/>
                      <w:bCs/>
                      <w:lang w:eastAsia="en-GB"/>
                    </w:rPr>
                    <w:br/>
                    <w:t>£'000</w:t>
                  </w:r>
                </w:p>
              </w:tc>
              <w:tc>
                <w:tcPr>
                  <w:tcW w:w="1064" w:type="dxa"/>
                  <w:tcBorders>
                    <w:top w:val="nil"/>
                    <w:left w:val="nil"/>
                    <w:bottom w:val="single" w:sz="4" w:space="0" w:color="auto"/>
                    <w:right w:val="single" w:sz="4" w:space="0" w:color="auto"/>
                  </w:tcBorders>
                  <w:shd w:val="clear" w:color="000000" w:fill="FFFFFF"/>
                  <w:vAlign w:val="center"/>
                  <w:hideMark/>
                </w:tcPr>
                <w:p w14:paraId="4135A8AB" w14:textId="77777777" w:rsidR="0047462B" w:rsidRPr="0047462B" w:rsidRDefault="0047462B" w:rsidP="0047462B">
                  <w:pPr>
                    <w:spacing w:after="0" w:line="240" w:lineRule="auto"/>
                    <w:jc w:val="center"/>
                    <w:textboxTightWrap w:val="none"/>
                    <w:rPr>
                      <w:rFonts w:ascii="Arial Narrow" w:hAnsi="Arial Narrow" w:cs="Calibri"/>
                      <w:b/>
                      <w:bCs/>
                      <w:lang w:eastAsia="en-GB"/>
                    </w:rPr>
                  </w:pPr>
                  <w:r w:rsidRPr="0047462B">
                    <w:rPr>
                      <w:rFonts w:ascii="Arial Narrow" w:hAnsi="Arial Narrow" w:cs="Calibri"/>
                      <w:b/>
                      <w:bCs/>
                      <w:lang w:eastAsia="en-GB"/>
                    </w:rPr>
                    <w:t>Total</w:t>
                  </w:r>
                  <w:r w:rsidRPr="0047462B">
                    <w:rPr>
                      <w:rFonts w:ascii="Arial Narrow" w:hAnsi="Arial Narrow" w:cs="Calibri"/>
                      <w:b/>
                      <w:bCs/>
                      <w:lang w:eastAsia="en-GB"/>
                    </w:rPr>
                    <w:br/>
                    <w:t>£'000</w:t>
                  </w:r>
                </w:p>
              </w:tc>
            </w:tr>
            <w:tr w:rsidR="0047462B" w:rsidRPr="0047462B" w14:paraId="0EE1A577" w14:textId="77777777" w:rsidTr="0047462B">
              <w:trPr>
                <w:trHeight w:val="103"/>
              </w:trPr>
              <w:tc>
                <w:tcPr>
                  <w:tcW w:w="1931" w:type="dxa"/>
                  <w:tcBorders>
                    <w:top w:val="nil"/>
                    <w:left w:val="nil"/>
                    <w:bottom w:val="nil"/>
                    <w:right w:val="nil"/>
                  </w:tcBorders>
                  <w:shd w:val="clear" w:color="auto" w:fill="auto"/>
                  <w:noWrap/>
                  <w:vAlign w:val="bottom"/>
                  <w:hideMark/>
                </w:tcPr>
                <w:p w14:paraId="569268CE" w14:textId="77777777" w:rsidR="0047462B" w:rsidRPr="0047462B" w:rsidRDefault="0047462B" w:rsidP="0047462B">
                  <w:pPr>
                    <w:spacing w:after="0" w:line="240" w:lineRule="auto"/>
                    <w:jc w:val="center"/>
                    <w:textboxTightWrap w:val="none"/>
                    <w:rPr>
                      <w:rFonts w:ascii="Arial Narrow" w:hAnsi="Arial Narrow" w:cs="Calibri"/>
                      <w:b/>
                      <w:bCs/>
                      <w:lang w:eastAsia="en-GB"/>
                    </w:rPr>
                  </w:pPr>
                </w:p>
              </w:tc>
              <w:tc>
                <w:tcPr>
                  <w:tcW w:w="271" w:type="dxa"/>
                  <w:tcBorders>
                    <w:top w:val="nil"/>
                    <w:left w:val="nil"/>
                    <w:bottom w:val="nil"/>
                    <w:right w:val="nil"/>
                  </w:tcBorders>
                  <w:shd w:val="clear" w:color="auto" w:fill="auto"/>
                  <w:noWrap/>
                  <w:vAlign w:val="bottom"/>
                  <w:hideMark/>
                </w:tcPr>
                <w:p w14:paraId="49CB8C4A"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2324" w:type="dxa"/>
                  <w:tcBorders>
                    <w:top w:val="nil"/>
                    <w:left w:val="nil"/>
                    <w:bottom w:val="nil"/>
                    <w:right w:val="nil"/>
                  </w:tcBorders>
                  <w:shd w:val="clear" w:color="auto" w:fill="auto"/>
                  <w:noWrap/>
                  <w:vAlign w:val="bottom"/>
                  <w:hideMark/>
                </w:tcPr>
                <w:p w14:paraId="20D1CA7A"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998" w:type="dxa"/>
                  <w:tcBorders>
                    <w:top w:val="nil"/>
                    <w:left w:val="nil"/>
                    <w:bottom w:val="nil"/>
                    <w:right w:val="nil"/>
                  </w:tcBorders>
                  <w:shd w:val="clear" w:color="auto" w:fill="auto"/>
                  <w:noWrap/>
                  <w:vAlign w:val="bottom"/>
                  <w:hideMark/>
                </w:tcPr>
                <w:p w14:paraId="2B516AC3"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875" w:type="dxa"/>
                  <w:tcBorders>
                    <w:top w:val="nil"/>
                    <w:left w:val="nil"/>
                    <w:bottom w:val="nil"/>
                    <w:right w:val="nil"/>
                  </w:tcBorders>
                  <w:shd w:val="clear" w:color="auto" w:fill="auto"/>
                  <w:noWrap/>
                  <w:vAlign w:val="bottom"/>
                  <w:hideMark/>
                </w:tcPr>
                <w:p w14:paraId="6D797668"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137" w:type="dxa"/>
                  <w:tcBorders>
                    <w:top w:val="nil"/>
                    <w:left w:val="nil"/>
                    <w:bottom w:val="nil"/>
                    <w:right w:val="nil"/>
                  </w:tcBorders>
                  <w:shd w:val="clear" w:color="auto" w:fill="auto"/>
                  <w:noWrap/>
                  <w:vAlign w:val="bottom"/>
                  <w:hideMark/>
                </w:tcPr>
                <w:p w14:paraId="67C05D21"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28" w:type="dxa"/>
                  <w:tcBorders>
                    <w:top w:val="nil"/>
                    <w:left w:val="nil"/>
                    <w:bottom w:val="nil"/>
                    <w:right w:val="nil"/>
                  </w:tcBorders>
                  <w:shd w:val="clear" w:color="auto" w:fill="auto"/>
                  <w:noWrap/>
                  <w:vAlign w:val="bottom"/>
                  <w:hideMark/>
                </w:tcPr>
                <w:p w14:paraId="59C1A3D0"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64" w:type="dxa"/>
                  <w:tcBorders>
                    <w:top w:val="nil"/>
                    <w:left w:val="nil"/>
                    <w:bottom w:val="nil"/>
                    <w:right w:val="nil"/>
                  </w:tcBorders>
                  <w:shd w:val="clear" w:color="auto" w:fill="auto"/>
                  <w:noWrap/>
                  <w:vAlign w:val="bottom"/>
                  <w:hideMark/>
                </w:tcPr>
                <w:p w14:paraId="74B640D2"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r>
            <w:tr w:rsidR="0047462B" w:rsidRPr="0047462B" w14:paraId="0976A5D3" w14:textId="77777777" w:rsidTr="0047462B">
              <w:trPr>
                <w:trHeight w:val="290"/>
              </w:trPr>
              <w:tc>
                <w:tcPr>
                  <w:tcW w:w="1931" w:type="dxa"/>
                  <w:tcBorders>
                    <w:top w:val="single" w:sz="4" w:space="0" w:color="auto"/>
                    <w:left w:val="single" w:sz="4" w:space="0" w:color="auto"/>
                    <w:bottom w:val="single" w:sz="4" w:space="0" w:color="auto"/>
                    <w:right w:val="nil"/>
                  </w:tcBorders>
                  <w:shd w:val="clear" w:color="auto" w:fill="auto"/>
                  <w:noWrap/>
                  <w:vAlign w:val="center"/>
                </w:tcPr>
                <w:p w14:paraId="01956C60" w14:textId="6C3AE445" w:rsidR="0047462B" w:rsidRPr="0047462B" w:rsidRDefault="0047462B" w:rsidP="0047462B">
                  <w:pPr>
                    <w:spacing w:after="0" w:line="240" w:lineRule="auto"/>
                    <w:textboxTightWrap w:val="none"/>
                    <w:rPr>
                      <w:rFonts w:ascii="Arial Narrow" w:hAnsi="Arial Narrow" w:cs="Calibri"/>
                      <w:lang w:eastAsia="en-GB"/>
                    </w:rPr>
                  </w:pPr>
                </w:p>
              </w:tc>
              <w:tc>
                <w:tcPr>
                  <w:tcW w:w="271" w:type="dxa"/>
                  <w:tcBorders>
                    <w:top w:val="single" w:sz="4" w:space="0" w:color="auto"/>
                    <w:left w:val="nil"/>
                    <w:bottom w:val="single" w:sz="4" w:space="0" w:color="auto"/>
                    <w:right w:val="single" w:sz="4" w:space="0" w:color="auto"/>
                  </w:tcBorders>
                  <w:shd w:val="clear" w:color="000000" w:fill="FFFFFF"/>
                  <w:noWrap/>
                  <w:vAlign w:val="center"/>
                  <w:hideMark/>
                </w:tcPr>
                <w:p w14:paraId="5C6B3D72"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 </w:t>
                  </w:r>
                </w:p>
              </w:tc>
              <w:tc>
                <w:tcPr>
                  <w:tcW w:w="2324" w:type="dxa"/>
                  <w:tcBorders>
                    <w:top w:val="single" w:sz="4" w:space="0" w:color="auto"/>
                    <w:left w:val="nil"/>
                    <w:bottom w:val="single" w:sz="4" w:space="0" w:color="auto"/>
                    <w:right w:val="single" w:sz="4" w:space="0" w:color="auto"/>
                  </w:tcBorders>
                  <w:shd w:val="clear" w:color="auto" w:fill="auto"/>
                  <w:noWrap/>
                  <w:vAlign w:val="center"/>
                  <w:hideMark/>
                </w:tcPr>
                <w:p w14:paraId="19211C74"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Disposals</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264D4B82"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7E568AFF"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3,265</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591F517F"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21864E87"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87F5F45"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3,265</w:t>
                  </w:r>
                </w:p>
              </w:tc>
            </w:tr>
            <w:tr w:rsidR="0047462B" w:rsidRPr="0047462B" w14:paraId="4D66AAE4" w14:textId="77777777" w:rsidTr="0047462B">
              <w:trPr>
                <w:trHeight w:val="290"/>
              </w:trPr>
              <w:tc>
                <w:tcPr>
                  <w:tcW w:w="1931" w:type="dxa"/>
                  <w:tcBorders>
                    <w:top w:val="nil"/>
                    <w:left w:val="single" w:sz="4" w:space="0" w:color="auto"/>
                    <w:bottom w:val="single" w:sz="4" w:space="0" w:color="auto"/>
                    <w:right w:val="nil"/>
                  </w:tcBorders>
                  <w:shd w:val="clear" w:color="auto" w:fill="auto"/>
                  <w:noWrap/>
                  <w:vAlign w:val="center"/>
                </w:tcPr>
                <w:p w14:paraId="27C43545" w14:textId="2A54158B" w:rsidR="0047462B" w:rsidRPr="0047462B" w:rsidRDefault="0047462B" w:rsidP="0047462B">
                  <w:pPr>
                    <w:spacing w:after="0" w:line="240" w:lineRule="auto"/>
                    <w:textboxTightWrap w:val="none"/>
                    <w:rPr>
                      <w:rFonts w:ascii="Arial Narrow" w:hAnsi="Arial Narrow" w:cs="Calibri"/>
                      <w:lang w:eastAsia="en-GB"/>
                    </w:rPr>
                  </w:pPr>
                </w:p>
              </w:tc>
              <w:tc>
                <w:tcPr>
                  <w:tcW w:w="271" w:type="dxa"/>
                  <w:tcBorders>
                    <w:top w:val="nil"/>
                    <w:left w:val="nil"/>
                    <w:bottom w:val="single" w:sz="4" w:space="0" w:color="auto"/>
                    <w:right w:val="single" w:sz="4" w:space="0" w:color="auto"/>
                  </w:tcBorders>
                  <w:shd w:val="clear" w:color="000000" w:fill="FFFFFF"/>
                  <w:noWrap/>
                  <w:vAlign w:val="center"/>
                  <w:hideMark/>
                </w:tcPr>
                <w:p w14:paraId="2D3C5296"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 </w:t>
                  </w:r>
                </w:p>
              </w:tc>
              <w:tc>
                <w:tcPr>
                  <w:tcW w:w="2324" w:type="dxa"/>
                  <w:tcBorders>
                    <w:top w:val="nil"/>
                    <w:left w:val="nil"/>
                    <w:bottom w:val="single" w:sz="4" w:space="0" w:color="auto"/>
                    <w:right w:val="single" w:sz="4" w:space="0" w:color="auto"/>
                  </w:tcBorders>
                  <w:shd w:val="clear" w:color="auto" w:fill="auto"/>
                  <w:noWrap/>
                  <w:vAlign w:val="center"/>
                  <w:hideMark/>
                </w:tcPr>
                <w:p w14:paraId="7E391902"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National Prog</w:t>
                  </w:r>
                </w:p>
              </w:tc>
              <w:tc>
                <w:tcPr>
                  <w:tcW w:w="998" w:type="dxa"/>
                  <w:tcBorders>
                    <w:top w:val="nil"/>
                    <w:left w:val="nil"/>
                    <w:bottom w:val="single" w:sz="4" w:space="0" w:color="auto"/>
                    <w:right w:val="single" w:sz="4" w:space="0" w:color="auto"/>
                  </w:tcBorders>
                  <w:shd w:val="clear" w:color="auto" w:fill="auto"/>
                  <w:noWrap/>
                  <w:vAlign w:val="center"/>
                  <w:hideMark/>
                </w:tcPr>
                <w:p w14:paraId="6F815DBB" w14:textId="1DA2CF74"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1</w:t>
                  </w:r>
                  <w:r w:rsidR="00DC7E09">
                    <w:rPr>
                      <w:rFonts w:ascii="Arial Narrow" w:hAnsi="Arial Narrow" w:cs="Calibri"/>
                      <w:lang w:eastAsia="en-GB"/>
                    </w:rPr>
                    <w:t>5,081</w:t>
                  </w:r>
                </w:p>
              </w:tc>
              <w:tc>
                <w:tcPr>
                  <w:tcW w:w="875" w:type="dxa"/>
                  <w:tcBorders>
                    <w:top w:val="nil"/>
                    <w:left w:val="nil"/>
                    <w:bottom w:val="single" w:sz="4" w:space="0" w:color="auto"/>
                    <w:right w:val="single" w:sz="4" w:space="0" w:color="auto"/>
                  </w:tcBorders>
                  <w:shd w:val="clear" w:color="auto" w:fill="auto"/>
                  <w:noWrap/>
                  <w:vAlign w:val="center"/>
                  <w:hideMark/>
                </w:tcPr>
                <w:p w14:paraId="50F5C073"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137" w:type="dxa"/>
                  <w:tcBorders>
                    <w:top w:val="nil"/>
                    <w:left w:val="nil"/>
                    <w:bottom w:val="single" w:sz="4" w:space="0" w:color="auto"/>
                    <w:right w:val="single" w:sz="4" w:space="0" w:color="auto"/>
                  </w:tcBorders>
                  <w:shd w:val="clear" w:color="auto" w:fill="auto"/>
                  <w:noWrap/>
                  <w:vAlign w:val="center"/>
                  <w:hideMark/>
                </w:tcPr>
                <w:p w14:paraId="7EE4DCCE"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1,048</w:t>
                  </w:r>
                </w:p>
              </w:tc>
              <w:tc>
                <w:tcPr>
                  <w:tcW w:w="1028" w:type="dxa"/>
                  <w:tcBorders>
                    <w:top w:val="nil"/>
                    <w:left w:val="nil"/>
                    <w:bottom w:val="single" w:sz="4" w:space="0" w:color="auto"/>
                    <w:right w:val="single" w:sz="4" w:space="0" w:color="auto"/>
                  </w:tcBorders>
                  <w:shd w:val="clear" w:color="auto" w:fill="auto"/>
                  <w:noWrap/>
                  <w:vAlign w:val="center"/>
                  <w:hideMark/>
                </w:tcPr>
                <w:p w14:paraId="2CF7D3A8"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064" w:type="dxa"/>
                  <w:tcBorders>
                    <w:top w:val="nil"/>
                    <w:left w:val="nil"/>
                    <w:bottom w:val="single" w:sz="4" w:space="0" w:color="auto"/>
                    <w:right w:val="single" w:sz="4" w:space="0" w:color="auto"/>
                  </w:tcBorders>
                  <w:shd w:val="clear" w:color="auto" w:fill="auto"/>
                  <w:noWrap/>
                  <w:vAlign w:val="center"/>
                  <w:hideMark/>
                </w:tcPr>
                <w:p w14:paraId="3A7FA195"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13,345</w:t>
                  </w:r>
                </w:p>
              </w:tc>
            </w:tr>
            <w:tr w:rsidR="0047462B" w:rsidRPr="0047462B" w14:paraId="158F434C" w14:textId="77777777" w:rsidTr="0047462B">
              <w:trPr>
                <w:trHeight w:val="290"/>
              </w:trPr>
              <w:tc>
                <w:tcPr>
                  <w:tcW w:w="1931" w:type="dxa"/>
                  <w:tcBorders>
                    <w:top w:val="nil"/>
                    <w:left w:val="single" w:sz="4" w:space="0" w:color="auto"/>
                    <w:bottom w:val="single" w:sz="4" w:space="0" w:color="auto"/>
                    <w:right w:val="nil"/>
                  </w:tcBorders>
                  <w:shd w:val="clear" w:color="auto" w:fill="auto"/>
                  <w:noWrap/>
                  <w:vAlign w:val="center"/>
                </w:tcPr>
                <w:p w14:paraId="76B6DDE4" w14:textId="76CB2D51" w:rsidR="0047462B" w:rsidRPr="0047462B" w:rsidRDefault="0047462B" w:rsidP="0047462B">
                  <w:pPr>
                    <w:spacing w:after="0" w:line="240" w:lineRule="auto"/>
                    <w:textboxTightWrap w:val="none"/>
                    <w:rPr>
                      <w:rFonts w:ascii="Arial Narrow" w:hAnsi="Arial Narrow" w:cs="Calibri"/>
                      <w:lang w:eastAsia="en-GB"/>
                    </w:rPr>
                  </w:pPr>
                </w:p>
              </w:tc>
              <w:tc>
                <w:tcPr>
                  <w:tcW w:w="271" w:type="dxa"/>
                  <w:tcBorders>
                    <w:top w:val="nil"/>
                    <w:left w:val="nil"/>
                    <w:bottom w:val="single" w:sz="4" w:space="0" w:color="auto"/>
                    <w:right w:val="single" w:sz="4" w:space="0" w:color="auto"/>
                  </w:tcBorders>
                  <w:shd w:val="clear" w:color="000000" w:fill="FFFFFF"/>
                  <w:noWrap/>
                  <w:vAlign w:val="center"/>
                  <w:hideMark/>
                </w:tcPr>
                <w:p w14:paraId="606B77B3"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 </w:t>
                  </w:r>
                </w:p>
              </w:tc>
              <w:tc>
                <w:tcPr>
                  <w:tcW w:w="2324" w:type="dxa"/>
                  <w:tcBorders>
                    <w:top w:val="nil"/>
                    <w:left w:val="nil"/>
                    <w:bottom w:val="single" w:sz="4" w:space="0" w:color="auto"/>
                    <w:right w:val="single" w:sz="4" w:space="0" w:color="auto"/>
                  </w:tcBorders>
                  <w:shd w:val="clear" w:color="auto" w:fill="auto"/>
                  <w:noWrap/>
                  <w:vAlign w:val="center"/>
                  <w:hideMark/>
                </w:tcPr>
                <w:p w14:paraId="15DC023E" w14:textId="29A25A2D"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IFRIC12-GHFT - PFI Lifecycle maintenance</w:t>
                  </w:r>
                  <w:r>
                    <w:rPr>
                      <w:rFonts w:ascii="Arial Narrow" w:hAnsi="Arial Narrow" w:cs="Calibri"/>
                      <w:lang w:eastAsia="en-GB"/>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344ED3CC"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533</w:t>
                  </w:r>
                </w:p>
              </w:tc>
              <w:tc>
                <w:tcPr>
                  <w:tcW w:w="875" w:type="dxa"/>
                  <w:tcBorders>
                    <w:top w:val="nil"/>
                    <w:left w:val="nil"/>
                    <w:bottom w:val="single" w:sz="4" w:space="0" w:color="auto"/>
                    <w:right w:val="single" w:sz="4" w:space="0" w:color="auto"/>
                  </w:tcBorders>
                  <w:shd w:val="clear" w:color="auto" w:fill="auto"/>
                  <w:noWrap/>
                  <w:vAlign w:val="center"/>
                  <w:hideMark/>
                </w:tcPr>
                <w:p w14:paraId="4F2019B1"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137" w:type="dxa"/>
                  <w:tcBorders>
                    <w:top w:val="nil"/>
                    <w:left w:val="nil"/>
                    <w:bottom w:val="single" w:sz="4" w:space="0" w:color="auto"/>
                    <w:right w:val="single" w:sz="4" w:space="0" w:color="auto"/>
                  </w:tcBorders>
                  <w:shd w:val="clear" w:color="auto" w:fill="auto"/>
                  <w:noWrap/>
                  <w:vAlign w:val="center"/>
                  <w:hideMark/>
                </w:tcPr>
                <w:p w14:paraId="1D867A50"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028" w:type="dxa"/>
                  <w:tcBorders>
                    <w:top w:val="nil"/>
                    <w:left w:val="nil"/>
                    <w:bottom w:val="single" w:sz="4" w:space="0" w:color="auto"/>
                    <w:right w:val="single" w:sz="4" w:space="0" w:color="auto"/>
                  </w:tcBorders>
                  <w:shd w:val="clear" w:color="auto" w:fill="auto"/>
                  <w:noWrap/>
                  <w:vAlign w:val="center"/>
                  <w:hideMark/>
                </w:tcPr>
                <w:p w14:paraId="4B0F0ED3"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064" w:type="dxa"/>
                  <w:tcBorders>
                    <w:top w:val="nil"/>
                    <w:left w:val="nil"/>
                    <w:bottom w:val="single" w:sz="4" w:space="0" w:color="auto"/>
                    <w:right w:val="single" w:sz="4" w:space="0" w:color="auto"/>
                  </w:tcBorders>
                  <w:shd w:val="clear" w:color="auto" w:fill="auto"/>
                  <w:noWrap/>
                  <w:vAlign w:val="center"/>
                  <w:hideMark/>
                </w:tcPr>
                <w:p w14:paraId="1BB8A499"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533</w:t>
                  </w:r>
                </w:p>
              </w:tc>
            </w:tr>
            <w:tr w:rsidR="0047462B" w:rsidRPr="0047462B" w14:paraId="4392F5CA" w14:textId="77777777" w:rsidTr="0047462B">
              <w:trPr>
                <w:trHeight w:val="290"/>
              </w:trPr>
              <w:tc>
                <w:tcPr>
                  <w:tcW w:w="1931" w:type="dxa"/>
                  <w:tcBorders>
                    <w:top w:val="nil"/>
                    <w:left w:val="single" w:sz="4" w:space="0" w:color="auto"/>
                    <w:bottom w:val="single" w:sz="4" w:space="0" w:color="auto"/>
                    <w:right w:val="nil"/>
                  </w:tcBorders>
                  <w:shd w:val="clear" w:color="auto" w:fill="auto"/>
                  <w:noWrap/>
                  <w:vAlign w:val="center"/>
                </w:tcPr>
                <w:p w14:paraId="3415798D" w14:textId="6B9662A0" w:rsidR="0047462B" w:rsidRPr="0047462B" w:rsidRDefault="0047462B" w:rsidP="0047462B">
                  <w:pPr>
                    <w:spacing w:after="0" w:line="240" w:lineRule="auto"/>
                    <w:textboxTightWrap w:val="none"/>
                    <w:rPr>
                      <w:rFonts w:ascii="Arial Narrow" w:hAnsi="Arial Narrow" w:cs="Calibri"/>
                      <w:lang w:eastAsia="en-GB"/>
                    </w:rPr>
                  </w:pPr>
                </w:p>
              </w:tc>
              <w:tc>
                <w:tcPr>
                  <w:tcW w:w="271" w:type="dxa"/>
                  <w:tcBorders>
                    <w:top w:val="nil"/>
                    <w:left w:val="nil"/>
                    <w:bottom w:val="single" w:sz="4" w:space="0" w:color="auto"/>
                    <w:right w:val="single" w:sz="4" w:space="0" w:color="auto"/>
                  </w:tcBorders>
                  <w:shd w:val="clear" w:color="000000" w:fill="FFFFFF"/>
                  <w:noWrap/>
                  <w:vAlign w:val="center"/>
                  <w:hideMark/>
                </w:tcPr>
                <w:p w14:paraId="36E4DFE1"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 </w:t>
                  </w:r>
                </w:p>
              </w:tc>
              <w:tc>
                <w:tcPr>
                  <w:tcW w:w="2324" w:type="dxa"/>
                  <w:tcBorders>
                    <w:top w:val="nil"/>
                    <w:left w:val="nil"/>
                    <w:bottom w:val="single" w:sz="4" w:space="0" w:color="auto"/>
                    <w:right w:val="single" w:sz="4" w:space="0" w:color="auto"/>
                  </w:tcBorders>
                  <w:shd w:val="clear" w:color="auto" w:fill="auto"/>
                  <w:noWrap/>
                  <w:vAlign w:val="center"/>
                  <w:hideMark/>
                </w:tcPr>
                <w:p w14:paraId="056D836C"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Donation Charitable</w:t>
                  </w:r>
                </w:p>
              </w:tc>
              <w:tc>
                <w:tcPr>
                  <w:tcW w:w="998" w:type="dxa"/>
                  <w:tcBorders>
                    <w:top w:val="nil"/>
                    <w:left w:val="nil"/>
                    <w:bottom w:val="single" w:sz="4" w:space="0" w:color="auto"/>
                    <w:right w:val="single" w:sz="4" w:space="0" w:color="auto"/>
                  </w:tcBorders>
                  <w:shd w:val="clear" w:color="auto" w:fill="auto"/>
                  <w:noWrap/>
                  <w:vAlign w:val="center"/>
                  <w:hideMark/>
                </w:tcPr>
                <w:p w14:paraId="5557810D"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1,274</w:t>
                  </w:r>
                </w:p>
              </w:tc>
              <w:tc>
                <w:tcPr>
                  <w:tcW w:w="875" w:type="dxa"/>
                  <w:tcBorders>
                    <w:top w:val="nil"/>
                    <w:left w:val="nil"/>
                    <w:bottom w:val="single" w:sz="4" w:space="0" w:color="auto"/>
                    <w:right w:val="single" w:sz="4" w:space="0" w:color="auto"/>
                  </w:tcBorders>
                  <w:shd w:val="clear" w:color="auto" w:fill="auto"/>
                  <w:noWrap/>
                  <w:vAlign w:val="center"/>
                  <w:hideMark/>
                </w:tcPr>
                <w:p w14:paraId="18FEC01E"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137" w:type="dxa"/>
                  <w:tcBorders>
                    <w:top w:val="nil"/>
                    <w:left w:val="nil"/>
                    <w:bottom w:val="single" w:sz="4" w:space="0" w:color="auto"/>
                    <w:right w:val="single" w:sz="4" w:space="0" w:color="auto"/>
                  </w:tcBorders>
                  <w:shd w:val="clear" w:color="auto" w:fill="auto"/>
                  <w:noWrap/>
                  <w:vAlign w:val="center"/>
                  <w:hideMark/>
                </w:tcPr>
                <w:p w14:paraId="001D0410"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028" w:type="dxa"/>
                  <w:tcBorders>
                    <w:top w:val="nil"/>
                    <w:left w:val="nil"/>
                    <w:bottom w:val="single" w:sz="4" w:space="0" w:color="auto"/>
                    <w:right w:val="single" w:sz="4" w:space="0" w:color="auto"/>
                  </w:tcBorders>
                  <w:shd w:val="clear" w:color="auto" w:fill="auto"/>
                  <w:noWrap/>
                  <w:vAlign w:val="center"/>
                  <w:hideMark/>
                </w:tcPr>
                <w:p w14:paraId="74318006"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0</w:t>
                  </w:r>
                </w:p>
              </w:tc>
              <w:tc>
                <w:tcPr>
                  <w:tcW w:w="1064" w:type="dxa"/>
                  <w:tcBorders>
                    <w:top w:val="nil"/>
                    <w:left w:val="nil"/>
                    <w:bottom w:val="single" w:sz="4" w:space="0" w:color="auto"/>
                    <w:right w:val="single" w:sz="4" w:space="0" w:color="auto"/>
                  </w:tcBorders>
                  <w:shd w:val="clear" w:color="auto" w:fill="auto"/>
                  <w:noWrap/>
                  <w:vAlign w:val="center"/>
                  <w:hideMark/>
                </w:tcPr>
                <w:p w14:paraId="2A095873" w14:textId="77777777" w:rsidR="0047462B" w:rsidRPr="0047462B" w:rsidRDefault="0047462B" w:rsidP="0047462B">
                  <w:pPr>
                    <w:spacing w:after="0" w:line="240" w:lineRule="auto"/>
                    <w:jc w:val="right"/>
                    <w:textboxTightWrap w:val="none"/>
                    <w:rPr>
                      <w:rFonts w:ascii="Arial Narrow" w:hAnsi="Arial Narrow" w:cs="Calibri"/>
                      <w:lang w:eastAsia="en-GB"/>
                    </w:rPr>
                  </w:pPr>
                  <w:r w:rsidRPr="0047462B">
                    <w:rPr>
                      <w:rFonts w:ascii="Arial Narrow" w:hAnsi="Arial Narrow" w:cs="Calibri"/>
                      <w:lang w:eastAsia="en-GB"/>
                    </w:rPr>
                    <w:t>1,274</w:t>
                  </w:r>
                </w:p>
              </w:tc>
            </w:tr>
            <w:tr w:rsidR="0047462B" w:rsidRPr="0047462B" w14:paraId="079B9FD5" w14:textId="77777777" w:rsidTr="0047462B">
              <w:trPr>
                <w:trHeight w:val="290"/>
              </w:trPr>
              <w:tc>
                <w:tcPr>
                  <w:tcW w:w="1931" w:type="dxa"/>
                  <w:tcBorders>
                    <w:top w:val="nil"/>
                    <w:left w:val="single" w:sz="4" w:space="0" w:color="auto"/>
                    <w:bottom w:val="single" w:sz="4" w:space="0" w:color="auto"/>
                    <w:right w:val="nil"/>
                  </w:tcBorders>
                  <w:shd w:val="clear" w:color="auto" w:fill="auto"/>
                  <w:noWrap/>
                  <w:vAlign w:val="center"/>
                  <w:hideMark/>
                </w:tcPr>
                <w:p w14:paraId="127751AD" w14:textId="713768FD" w:rsidR="0047462B" w:rsidRPr="0047462B" w:rsidRDefault="0047462B" w:rsidP="0047462B">
                  <w:pPr>
                    <w:spacing w:after="0" w:line="240" w:lineRule="auto"/>
                    <w:textboxTightWrap w:val="none"/>
                    <w:rPr>
                      <w:rFonts w:ascii="Arial Narrow" w:hAnsi="Arial Narrow" w:cs="Calibri"/>
                      <w:b/>
                      <w:bCs/>
                      <w:lang w:eastAsia="en-GB"/>
                    </w:rPr>
                  </w:pPr>
                </w:p>
              </w:tc>
              <w:tc>
                <w:tcPr>
                  <w:tcW w:w="271" w:type="dxa"/>
                  <w:tcBorders>
                    <w:top w:val="nil"/>
                    <w:left w:val="nil"/>
                    <w:bottom w:val="single" w:sz="4" w:space="0" w:color="auto"/>
                    <w:right w:val="single" w:sz="4" w:space="0" w:color="auto"/>
                  </w:tcBorders>
                  <w:shd w:val="clear" w:color="000000" w:fill="FFFFFF"/>
                  <w:noWrap/>
                  <w:vAlign w:val="center"/>
                  <w:hideMark/>
                </w:tcPr>
                <w:p w14:paraId="0685139F"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tcBorders>
                    <w:top w:val="nil"/>
                    <w:left w:val="nil"/>
                    <w:bottom w:val="single" w:sz="4" w:space="0" w:color="auto"/>
                    <w:right w:val="single" w:sz="4" w:space="0" w:color="auto"/>
                  </w:tcBorders>
                  <w:shd w:val="clear" w:color="auto" w:fill="auto"/>
                  <w:vAlign w:val="center"/>
                  <w:hideMark/>
                </w:tcPr>
                <w:p w14:paraId="3A4E6FF6" w14:textId="75C3AA04"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Total Other Funding Sources</w:t>
                  </w:r>
                </w:p>
              </w:tc>
              <w:tc>
                <w:tcPr>
                  <w:tcW w:w="998" w:type="dxa"/>
                  <w:tcBorders>
                    <w:top w:val="nil"/>
                    <w:left w:val="nil"/>
                    <w:bottom w:val="single" w:sz="4" w:space="0" w:color="auto"/>
                    <w:right w:val="single" w:sz="4" w:space="0" w:color="auto"/>
                  </w:tcBorders>
                  <w:shd w:val="clear" w:color="auto" w:fill="auto"/>
                  <w:noWrap/>
                  <w:vAlign w:val="center"/>
                  <w:hideMark/>
                </w:tcPr>
                <w:p w14:paraId="6E2A08DB" w14:textId="4734C871"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1</w:t>
                  </w:r>
                  <w:r w:rsidR="00DC7E09">
                    <w:rPr>
                      <w:rFonts w:ascii="Arial Narrow" w:hAnsi="Arial Narrow" w:cs="Calibri"/>
                      <w:b/>
                      <w:bCs/>
                      <w:lang w:eastAsia="en-GB"/>
                    </w:rPr>
                    <w:t>6,888</w:t>
                  </w:r>
                </w:p>
              </w:tc>
              <w:tc>
                <w:tcPr>
                  <w:tcW w:w="875" w:type="dxa"/>
                  <w:tcBorders>
                    <w:top w:val="nil"/>
                    <w:left w:val="nil"/>
                    <w:bottom w:val="single" w:sz="4" w:space="0" w:color="auto"/>
                    <w:right w:val="single" w:sz="4" w:space="0" w:color="auto"/>
                  </w:tcBorders>
                  <w:shd w:val="clear" w:color="auto" w:fill="auto"/>
                  <w:noWrap/>
                  <w:vAlign w:val="center"/>
                  <w:hideMark/>
                </w:tcPr>
                <w:p w14:paraId="5DA2A741"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3,265</w:t>
                  </w:r>
                </w:p>
              </w:tc>
              <w:tc>
                <w:tcPr>
                  <w:tcW w:w="1137" w:type="dxa"/>
                  <w:tcBorders>
                    <w:top w:val="nil"/>
                    <w:left w:val="nil"/>
                    <w:bottom w:val="single" w:sz="4" w:space="0" w:color="auto"/>
                    <w:right w:val="single" w:sz="4" w:space="0" w:color="auto"/>
                  </w:tcBorders>
                  <w:shd w:val="clear" w:color="auto" w:fill="auto"/>
                  <w:noWrap/>
                  <w:vAlign w:val="center"/>
                  <w:hideMark/>
                </w:tcPr>
                <w:p w14:paraId="43F73F75"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1,048</w:t>
                  </w:r>
                </w:p>
              </w:tc>
              <w:tc>
                <w:tcPr>
                  <w:tcW w:w="1028" w:type="dxa"/>
                  <w:tcBorders>
                    <w:top w:val="nil"/>
                    <w:left w:val="nil"/>
                    <w:bottom w:val="single" w:sz="4" w:space="0" w:color="auto"/>
                    <w:right w:val="single" w:sz="4" w:space="0" w:color="auto"/>
                  </w:tcBorders>
                  <w:shd w:val="clear" w:color="auto" w:fill="auto"/>
                  <w:noWrap/>
                  <w:vAlign w:val="center"/>
                  <w:hideMark/>
                </w:tcPr>
                <w:p w14:paraId="7F4A32FB"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0</w:t>
                  </w:r>
                </w:p>
              </w:tc>
              <w:tc>
                <w:tcPr>
                  <w:tcW w:w="1064" w:type="dxa"/>
                  <w:tcBorders>
                    <w:top w:val="nil"/>
                    <w:left w:val="nil"/>
                    <w:bottom w:val="single" w:sz="4" w:space="0" w:color="auto"/>
                    <w:right w:val="single" w:sz="4" w:space="0" w:color="auto"/>
                  </w:tcBorders>
                  <w:shd w:val="clear" w:color="auto" w:fill="auto"/>
                  <w:noWrap/>
                  <w:vAlign w:val="center"/>
                  <w:hideMark/>
                </w:tcPr>
                <w:p w14:paraId="5C92D253" w14:textId="7F5E57BD" w:rsidR="0047462B" w:rsidRPr="0047462B" w:rsidRDefault="00DC7E09" w:rsidP="0047462B">
                  <w:pPr>
                    <w:spacing w:after="0" w:line="240" w:lineRule="auto"/>
                    <w:jc w:val="right"/>
                    <w:textboxTightWrap w:val="none"/>
                    <w:rPr>
                      <w:rFonts w:ascii="Arial Narrow" w:hAnsi="Arial Narrow" w:cs="Calibri"/>
                      <w:b/>
                      <w:bCs/>
                      <w:lang w:eastAsia="en-GB"/>
                    </w:rPr>
                  </w:pPr>
                  <w:r>
                    <w:rPr>
                      <w:rFonts w:ascii="Arial Narrow" w:hAnsi="Arial Narrow" w:cs="Calibri"/>
                      <w:b/>
                      <w:bCs/>
                      <w:lang w:eastAsia="en-GB"/>
                    </w:rPr>
                    <w:t>21,201</w:t>
                  </w:r>
                </w:p>
              </w:tc>
            </w:tr>
            <w:tr w:rsidR="0047462B" w:rsidRPr="0047462B" w14:paraId="575D09B5" w14:textId="77777777" w:rsidTr="0047462B">
              <w:trPr>
                <w:trHeight w:val="290"/>
              </w:trPr>
              <w:tc>
                <w:tcPr>
                  <w:tcW w:w="1931" w:type="dxa"/>
                  <w:tcBorders>
                    <w:top w:val="nil"/>
                    <w:left w:val="nil"/>
                    <w:bottom w:val="nil"/>
                    <w:right w:val="nil"/>
                  </w:tcBorders>
                  <w:shd w:val="clear" w:color="auto" w:fill="auto"/>
                  <w:noWrap/>
                  <w:vAlign w:val="bottom"/>
                  <w:hideMark/>
                </w:tcPr>
                <w:p w14:paraId="784F7482" w14:textId="77777777" w:rsidR="0047462B" w:rsidRPr="0047462B" w:rsidRDefault="0047462B" w:rsidP="0047462B">
                  <w:pPr>
                    <w:spacing w:after="0" w:line="240" w:lineRule="auto"/>
                    <w:jc w:val="right"/>
                    <w:textboxTightWrap w:val="none"/>
                    <w:rPr>
                      <w:rFonts w:ascii="Arial Narrow" w:hAnsi="Arial Narrow" w:cs="Calibri"/>
                      <w:b/>
                      <w:bCs/>
                      <w:lang w:eastAsia="en-GB"/>
                    </w:rPr>
                  </w:pPr>
                </w:p>
              </w:tc>
              <w:tc>
                <w:tcPr>
                  <w:tcW w:w="271" w:type="dxa"/>
                  <w:tcBorders>
                    <w:top w:val="nil"/>
                    <w:left w:val="nil"/>
                    <w:bottom w:val="nil"/>
                    <w:right w:val="nil"/>
                  </w:tcBorders>
                  <w:shd w:val="clear" w:color="auto" w:fill="auto"/>
                  <w:noWrap/>
                  <w:vAlign w:val="bottom"/>
                  <w:hideMark/>
                </w:tcPr>
                <w:p w14:paraId="1B35A008"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2324" w:type="dxa"/>
                  <w:tcBorders>
                    <w:top w:val="nil"/>
                    <w:left w:val="nil"/>
                    <w:bottom w:val="nil"/>
                    <w:right w:val="nil"/>
                  </w:tcBorders>
                  <w:shd w:val="clear" w:color="auto" w:fill="auto"/>
                  <w:noWrap/>
                  <w:vAlign w:val="bottom"/>
                  <w:hideMark/>
                </w:tcPr>
                <w:p w14:paraId="73490FAC"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998" w:type="dxa"/>
                  <w:tcBorders>
                    <w:top w:val="nil"/>
                    <w:left w:val="nil"/>
                    <w:bottom w:val="nil"/>
                    <w:right w:val="nil"/>
                  </w:tcBorders>
                  <w:shd w:val="clear" w:color="auto" w:fill="auto"/>
                  <w:noWrap/>
                  <w:vAlign w:val="bottom"/>
                  <w:hideMark/>
                </w:tcPr>
                <w:p w14:paraId="54EB1F3C"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875" w:type="dxa"/>
                  <w:tcBorders>
                    <w:top w:val="nil"/>
                    <w:left w:val="nil"/>
                    <w:bottom w:val="nil"/>
                    <w:right w:val="nil"/>
                  </w:tcBorders>
                  <w:shd w:val="clear" w:color="auto" w:fill="auto"/>
                  <w:noWrap/>
                  <w:vAlign w:val="bottom"/>
                  <w:hideMark/>
                </w:tcPr>
                <w:p w14:paraId="5B1A3469"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137" w:type="dxa"/>
                  <w:tcBorders>
                    <w:top w:val="nil"/>
                    <w:left w:val="nil"/>
                    <w:bottom w:val="nil"/>
                    <w:right w:val="nil"/>
                  </w:tcBorders>
                  <w:shd w:val="clear" w:color="auto" w:fill="auto"/>
                  <w:noWrap/>
                  <w:vAlign w:val="bottom"/>
                  <w:hideMark/>
                </w:tcPr>
                <w:p w14:paraId="17598467"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28" w:type="dxa"/>
                  <w:tcBorders>
                    <w:top w:val="nil"/>
                    <w:left w:val="nil"/>
                    <w:bottom w:val="nil"/>
                    <w:right w:val="nil"/>
                  </w:tcBorders>
                  <w:shd w:val="clear" w:color="auto" w:fill="auto"/>
                  <w:noWrap/>
                  <w:vAlign w:val="bottom"/>
                  <w:hideMark/>
                </w:tcPr>
                <w:p w14:paraId="6039183E"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64" w:type="dxa"/>
                  <w:tcBorders>
                    <w:top w:val="nil"/>
                    <w:left w:val="nil"/>
                    <w:bottom w:val="nil"/>
                    <w:right w:val="nil"/>
                  </w:tcBorders>
                  <w:shd w:val="clear" w:color="auto" w:fill="auto"/>
                  <w:noWrap/>
                  <w:vAlign w:val="bottom"/>
                  <w:hideMark/>
                </w:tcPr>
                <w:p w14:paraId="0963DE8A"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r>
            <w:tr w:rsidR="0047462B" w:rsidRPr="0047462B" w14:paraId="4A66A990" w14:textId="77777777" w:rsidTr="0047462B">
              <w:trPr>
                <w:trHeight w:val="180"/>
              </w:trPr>
              <w:tc>
                <w:tcPr>
                  <w:tcW w:w="1931" w:type="dxa"/>
                  <w:tcBorders>
                    <w:top w:val="nil"/>
                    <w:left w:val="nil"/>
                    <w:bottom w:val="nil"/>
                    <w:right w:val="nil"/>
                  </w:tcBorders>
                  <w:shd w:val="clear" w:color="auto" w:fill="auto"/>
                  <w:noWrap/>
                  <w:vAlign w:val="center"/>
                  <w:hideMark/>
                </w:tcPr>
                <w:p w14:paraId="274A39B9"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271" w:type="dxa"/>
                  <w:tcBorders>
                    <w:top w:val="nil"/>
                    <w:left w:val="nil"/>
                    <w:bottom w:val="nil"/>
                    <w:right w:val="nil"/>
                  </w:tcBorders>
                  <w:shd w:val="clear" w:color="auto" w:fill="auto"/>
                  <w:noWrap/>
                  <w:vAlign w:val="center"/>
                  <w:hideMark/>
                </w:tcPr>
                <w:p w14:paraId="6595474B"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2324" w:type="dxa"/>
                  <w:tcBorders>
                    <w:top w:val="nil"/>
                    <w:left w:val="nil"/>
                    <w:bottom w:val="nil"/>
                    <w:right w:val="nil"/>
                  </w:tcBorders>
                  <w:shd w:val="clear" w:color="auto" w:fill="auto"/>
                  <w:vAlign w:val="center"/>
                  <w:hideMark/>
                </w:tcPr>
                <w:p w14:paraId="2ADD0753"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998" w:type="dxa"/>
                  <w:tcBorders>
                    <w:top w:val="nil"/>
                    <w:left w:val="nil"/>
                    <w:bottom w:val="nil"/>
                    <w:right w:val="nil"/>
                  </w:tcBorders>
                  <w:shd w:val="clear" w:color="auto" w:fill="auto"/>
                  <w:noWrap/>
                  <w:vAlign w:val="center"/>
                  <w:hideMark/>
                </w:tcPr>
                <w:p w14:paraId="7C6ED763"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875" w:type="dxa"/>
                  <w:tcBorders>
                    <w:top w:val="nil"/>
                    <w:left w:val="nil"/>
                    <w:bottom w:val="nil"/>
                    <w:right w:val="nil"/>
                  </w:tcBorders>
                  <w:shd w:val="clear" w:color="auto" w:fill="auto"/>
                  <w:noWrap/>
                  <w:vAlign w:val="center"/>
                  <w:hideMark/>
                </w:tcPr>
                <w:p w14:paraId="4349E1CF" w14:textId="77777777" w:rsidR="0047462B" w:rsidRPr="0047462B" w:rsidRDefault="0047462B" w:rsidP="0047462B">
                  <w:pPr>
                    <w:spacing w:after="0" w:line="240" w:lineRule="auto"/>
                    <w:jc w:val="right"/>
                    <w:textboxTightWrap w:val="none"/>
                    <w:rPr>
                      <w:rFonts w:ascii="Times New Roman" w:hAnsi="Times New Roman"/>
                      <w:color w:val="auto"/>
                      <w:sz w:val="20"/>
                      <w:szCs w:val="20"/>
                      <w:lang w:eastAsia="en-GB"/>
                    </w:rPr>
                  </w:pPr>
                </w:p>
              </w:tc>
              <w:tc>
                <w:tcPr>
                  <w:tcW w:w="1137" w:type="dxa"/>
                  <w:tcBorders>
                    <w:top w:val="nil"/>
                    <w:left w:val="nil"/>
                    <w:bottom w:val="nil"/>
                    <w:right w:val="nil"/>
                  </w:tcBorders>
                  <w:shd w:val="clear" w:color="auto" w:fill="auto"/>
                  <w:noWrap/>
                  <w:vAlign w:val="center"/>
                  <w:hideMark/>
                </w:tcPr>
                <w:p w14:paraId="04688AF5" w14:textId="77777777" w:rsidR="0047462B" w:rsidRPr="0047462B" w:rsidRDefault="0047462B" w:rsidP="0047462B">
                  <w:pPr>
                    <w:spacing w:after="0" w:line="240" w:lineRule="auto"/>
                    <w:jc w:val="right"/>
                    <w:textboxTightWrap w:val="none"/>
                    <w:rPr>
                      <w:rFonts w:ascii="Times New Roman" w:hAnsi="Times New Roman"/>
                      <w:color w:val="auto"/>
                      <w:sz w:val="20"/>
                      <w:szCs w:val="20"/>
                      <w:lang w:eastAsia="en-GB"/>
                    </w:rPr>
                  </w:pPr>
                </w:p>
              </w:tc>
              <w:tc>
                <w:tcPr>
                  <w:tcW w:w="1028" w:type="dxa"/>
                  <w:tcBorders>
                    <w:top w:val="nil"/>
                    <w:left w:val="nil"/>
                    <w:bottom w:val="nil"/>
                    <w:right w:val="nil"/>
                  </w:tcBorders>
                  <w:shd w:val="clear" w:color="auto" w:fill="auto"/>
                  <w:noWrap/>
                  <w:vAlign w:val="center"/>
                  <w:hideMark/>
                </w:tcPr>
                <w:p w14:paraId="39A79ACB" w14:textId="77777777" w:rsidR="0047462B" w:rsidRPr="0047462B" w:rsidRDefault="0047462B" w:rsidP="0047462B">
                  <w:pPr>
                    <w:spacing w:after="0" w:line="240" w:lineRule="auto"/>
                    <w:jc w:val="right"/>
                    <w:textboxTightWrap w:val="none"/>
                    <w:rPr>
                      <w:rFonts w:ascii="Times New Roman" w:hAnsi="Times New Roman"/>
                      <w:color w:val="auto"/>
                      <w:sz w:val="20"/>
                      <w:szCs w:val="20"/>
                      <w:lang w:eastAsia="en-GB"/>
                    </w:rPr>
                  </w:pPr>
                </w:p>
              </w:tc>
              <w:tc>
                <w:tcPr>
                  <w:tcW w:w="1064" w:type="dxa"/>
                  <w:tcBorders>
                    <w:top w:val="nil"/>
                    <w:left w:val="nil"/>
                    <w:bottom w:val="nil"/>
                    <w:right w:val="nil"/>
                  </w:tcBorders>
                  <w:shd w:val="clear" w:color="auto" w:fill="auto"/>
                  <w:noWrap/>
                  <w:vAlign w:val="center"/>
                  <w:hideMark/>
                </w:tcPr>
                <w:p w14:paraId="6DEA23A7" w14:textId="77777777" w:rsidR="0047462B" w:rsidRPr="0047462B" w:rsidRDefault="0047462B" w:rsidP="0047462B">
                  <w:pPr>
                    <w:spacing w:after="0" w:line="240" w:lineRule="auto"/>
                    <w:jc w:val="right"/>
                    <w:textboxTightWrap w:val="none"/>
                    <w:rPr>
                      <w:rFonts w:ascii="Times New Roman" w:hAnsi="Times New Roman"/>
                      <w:color w:val="auto"/>
                      <w:sz w:val="20"/>
                      <w:szCs w:val="20"/>
                      <w:lang w:eastAsia="en-GB"/>
                    </w:rPr>
                  </w:pPr>
                </w:p>
              </w:tc>
            </w:tr>
            <w:tr w:rsidR="0047462B" w:rsidRPr="0047462B" w14:paraId="442FDD99" w14:textId="77777777" w:rsidTr="0047462B">
              <w:trPr>
                <w:trHeight w:val="290"/>
              </w:trPr>
              <w:tc>
                <w:tcPr>
                  <w:tcW w:w="1931" w:type="dxa"/>
                  <w:tcBorders>
                    <w:top w:val="single" w:sz="4" w:space="0" w:color="auto"/>
                    <w:left w:val="single" w:sz="4" w:space="0" w:color="auto"/>
                    <w:bottom w:val="nil"/>
                    <w:right w:val="nil"/>
                  </w:tcBorders>
                  <w:shd w:val="clear" w:color="auto" w:fill="auto"/>
                  <w:noWrap/>
                  <w:vAlign w:val="center"/>
                  <w:hideMark/>
                </w:tcPr>
                <w:p w14:paraId="5F83E8BB"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System CDEL</w:t>
                  </w:r>
                </w:p>
              </w:tc>
              <w:tc>
                <w:tcPr>
                  <w:tcW w:w="271" w:type="dxa"/>
                  <w:tcBorders>
                    <w:top w:val="single" w:sz="4" w:space="0" w:color="auto"/>
                    <w:left w:val="nil"/>
                    <w:bottom w:val="nil"/>
                    <w:right w:val="single" w:sz="4" w:space="0" w:color="auto"/>
                  </w:tcBorders>
                  <w:shd w:val="clear" w:color="auto" w:fill="auto"/>
                  <w:noWrap/>
                  <w:vAlign w:val="center"/>
                  <w:hideMark/>
                </w:tcPr>
                <w:p w14:paraId="62842B98"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tcBorders>
                    <w:top w:val="single" w:sz="4" w:space="0" w:color="auto"/>
                    <w:left w:val="nil"/>
                    <w:bottom w:val="nil"/>
                    <w:right w:val="single" w:sz="4" w:space="0" w:color="auto"/>
                  </w:tcBorders>
                  <w:shd w:val="clear" w:color="auto" w:fill="auto"/>
                  <w:vAlign w:val="center"/>
                  <w:hideMark/>
                </w:tcPr>
                <w:p w14:paraId="03894203"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Notified - 25/26</w:t>
                  </w:r>
                </w:p>
              </w:tc>
              <w:tc>
                <w:tcPr>
                  <w:tcW w:w="998" w:type="dxa"/>
                  <w:tcBorders>
                    <w:top w:val="single" w:sz="4" w:space="0" w:color="auto"/>
                    <w:left w:val="nil"/>
                    <w:bottom w:val="nil"/>
                    <w:right w:val="nil"/>
                  </w:tcBorders>
                  <w:shd w:val="clear" w:color="auto" w:fill="auto"/>
                  <w:noWrap/>
                  <w:vAlign w:val="center"/>
                  <w:hideMark/>
                </w:tcPr>
                <w:p w14:paraId="43B60DC2"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 </w:t>
                  </w:r>
                </w:p>
              </w:tc>
              <w:tc>
                <w:tcPr>
                  <w:tcW w:w="875" w:type="dxa"/>
                  <w:tcBorders>
                    <w:top w:val="single" w:sz="4" w:space="0" w:color="auto"/>
                    <w:left w:val="nil"/>
                    <w:bottom w:val="nil"/>
                    <w:right w:val="nil"/>
                  </w:tcBorders>
                  <w:shd w:val="clear" w:color="auto" w:fill="auto"/>
                  <w:noWrap/>
                  <w:vAlign w:val="center"/>
                  <w:hideMark/>
                </w:tcPr>
                <w:p w14:paraId="3A3AACCF"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 </w:t>
                  </w:r>
                </w:p>
              </w:tc>
              <w:tc>
                <w:tcPr>
                  <w:tcW w:w="1137" w:type="dxa"/>
                  <w:tcBorders>
                    <w:top w:val="single" w:sz="4" w:space="0" w:color="auto"/>
                    <w:left w:val="nil"/>
                    <w:bottom w:val="nil"/>
                    <w:right w:val="nil"/>
                  </w:tcBorders>
                  <w:shd w:val="clear" w:color="auto" w:fill="auto"/>
                  <w:noWrap/>
                  <w:vAlign w:val="center"/>
                  <w:hideMark/>
                </w:tcPr>
                <w:p w14:paraId="78045929"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 </w:t>
                  </w:r>
                </w:p>
              </w:tc>
              <w:tc>
                <w:tcPr>
                  <w:tcW w:w="1028" w:type="dxa"/>
                  <w:tcBorders>
                    <w:top w:val="single" w:sz="4" w:space="0" w:color="auto"/>
                    <w:left w:val="nil"/>
                    <w:bottom w:val="nil"/>
                    <w:right w:val="nil"/>
                  </w:tcBorders>
                  <w:shd w:val="clear" w:color="auto" w:fill="auto"/>
                  <w:noWrap/>
                  <w:vAlign w:val="center"/>
                  <w:hideMark/>
                </w:tcPr>
                <w:p w14:paraId="59DD8389"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 </w:t>
                  </w:r>
                </w:p>
              </w:tc>
              <w:tc>
                <w:tcPr>
                  <w:tcW w:w="1064" w:type="dxa"/>
                  <w:tcBorders>
                    <w:top w:val="single" w:sz="4" w:space="0" w:color="auto"/>
                    <w:left w:val="single" w:sz="4" w:space="0" w:color="auto"/>
                    <w:bottom w:val="nil"/>
                    <w:right w:val="single" w:sz="4" w:space="0" w:color="auto"/>
                  </w:tcBorders>
                  <w:shd w:val="clear" w:color="auto" w:fill="auto"/>
                  <w:noWrap/>
                  <w:vAlign w:val="center"/>
                  <w:hideMark/>
                </w:tcPr>
                <w:p w14:paraId="220C1289"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43,619</w:t>
                  </w:r>
                </w:p>
              </w:tc>
            </w:tr>
            <w:tr w:rsidR="0047462B" w:rsidRPr="0047462B" w14:paraId="42B82341" w14:textId="77777777" w:rsidTr="0047462B">
              <w:trPr>
                <w:trHeight w:val="290"/>
              </w:trPr>
              <w:tc>
                <w:tcPr>
                  <w:tcW w:w="1931" w:type="dxa"/>
                  <w:tcBorders>
                    <w:top w:val="nil"/>
                    <w:left w:val="single" w:sz="4" w:space="0" w:color="auto"/>
                    <w:bottom w:val="nil"/>
                    <w:right w:val="nil"/>
                  </w:tcBorders>
                  <w:shd w:val="clear" w:color="auto" w:fill="auto"/>
                  <w:noWrap/>
                  <w:vAlign w:val="center"/>
                  <w:hideMark/>
                </w:tcPr>
                <w:p w14:paraId="7B550986"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71" w:type="dxa"/>
                  <w:tcBorders>
                    <w:top w:val="nil"/>
                    <w:left w:val="nil"/>
                    <w:bottom w:val="nil"/>
                    <w:right w:val="single" w:sz="4" w:space="0" w:color="auto"/>
                  </w:tcBorders>
                  <w:shd w:val="clear" w:color="auto" w:fill="auto"/>
                  <w:noWrap/>
                  <w:vAlign w:val="center"/>
                  <w:hideMark/>
                </w:tcPr>
                <w:p w14:paraId="085B5CCF"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tcBorders>
                    <w:top w:val="nil"/>
                    <w:left w:val="nil"/>
                    <w:bottom w:val="nil"/>
                    <w:right w:val="single" w:sz="4" w:space="0" w:color="auto"/>
                  </w:tcBorders>
                  <w:shd w:val="clear" w:color="auto" w:fill="auto"/>
                  <w:vAlign w:val="center"/>
                  <w:hideMark/>
                </w:tcPr>
                <w:p w14:paraId="34041FE1"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Primary care capital allocation</w:t>
                  </w:r>
                </w:p>
              </w:tc>
              <w:tc>
                <w:tcPr>
                  <w:tcW w:w="998" w:type="dxa"/>
                  <w:tcBorders>
                    <w:top w:val="nil"/>
                    <w:left w:val="nil"/>
                    <w:bottom w:val="nil"/>
                    <w:right w:val="nil"/>
                  </w:tcBorders>
                  <w:shd w:val="clear" w:color="auto" w:fill="auto"/>
                  <w:noWrap/>
                  <w:vAlign w:val="center"/>
                  <w:hideMark/>
                </w:tcPr>
                <w:p w14:paraId="1D47DACC"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 </w:t>
                  </w:r>
                </w:p>
              </w:tc>
              <w:tc>
                <w:tcPr>
                  <w:tcW w:w="875" w:type="dxa"/>
                  <w:tcBorders>
                    <w:top w:val="nil"/>
                    <w:left w:val="nil"/>
                    <w:bottom w:val="nil"/>
                    <w:right w:val="nil"/>
                  </w:tcBorders>
                  <w:shd w:val="clear" w:color="auto" w:fill="auto"/>
                  <w:noWrap/>
                  <w:vAlign w:val="center"/>
                  <w:hideMark/>
                </w:tcPr>
                <w:p w14:paraId="68A198B4" w14:textId="77777777" w:rsidR="0047462B" w:rsidRPr="0047462B" w:rsidRDefault="0047462B" w:rsidP="0047462B">
                  <w:pPr>
                    <w:spacing w:after="0" w:line="240" w:lineRule="auto"/>
                    <w:jc w:val="right"/>
                    <w:textboxTightWrap w:val="none"/>
                    <w:rPr>
                      <w:rFonts w:ascii="Arial Narrow" w:hAnsi="Arial Narrow" w:cs="Calibri"/>
                      <w:b/>
                      <w:bCs/>
                      <w:lang w:eastAsia="en-GB"/>
                    </w:rPr>
                  </w:pPr>
                </w:p>
              </w:tc>
              <w:tc>
                <w:tcPr>
                  <w:tcW w:w="1137" w:type="dxa"/>
                  <w:tcBorders>
                    <w:top w:val="nil"/>
                    <w:left w:val="nil"/>
                    <w:bottom w:val="nil"/>
                    <w:right w:val="nil"/>
                  </w:tcBorders>
                  <w:shd w:val="clear" w:color="auto" w:fill="auto"/>
                  <w:noWrap/>
                  <w:vAlign w:val="center"/>
                  <w:hideMark/>
                </w:tcPr>
                <w:p w14:paraId="1A6C0E01" w14:textId="77777777" w:rsidR="0047462B" w:rsidRPr="0047462B" w:rsidRDefault="0047462B" w:rsidP="0047462B">
                  <w:pPr>
                    <w:spacing w:after="0" w:line="240" w:lineRule="auto"/>
                    <w:jc w:val="right"/>
                    <w:textboxTightWrap w:val="none"/>
                    <w:rPr>
                      <w:rFonts w:ascii="Times New Roman" w:hAnsi="Times New Roman"/>
                      <w:color w:val="auto"/>
                      <w:sz w:val="20"/>
                      <w:szCs w:val="20"/>
                      <w:lang w:eastAsia="en-GB"/>
                    </w:rPr>
                  </w:pPr>
                </w:p>
              </w:tc>
              <w:tc>
                <w:tcPr>
                  <w:tcW w:w="1028" w:type="dxa"/>
                  <w:tcBorders>
                    <w:top w:val="nil"/>
                    <w:left w:val="nil"/>
                    <w:bottom w:val="nil"/>
                    <w:right w:val="nil"/>
                  </w:tcBorders>
                  <w:shd w:val="clear" w:color="auto" w:fill="auto"/>
                  <w:noWrap/>
                  <w:vAlign w:val="center"/>
                  <w:hideMark/>
                </w:tcPr>
                <w:p w14:paraId="3E620352" w14:textId="77777777" w:rsidR="0047462B" w:rsidRPr="0047462B" w:rsidRDefault="0047462B" w:rsidP="0047462B">
                  <w:pPr>
                    <w:spacing w:after="0" w:line="240" w:lineRule="auto"/>
                    <w:jc w:val="right"/>
                    <w:textboxTightWrap w:val="none"/>
                    <w:rPr>
                      <w:rFonts w:ascii="Times New Roman" w:hAnsi="Times New Roman"/>
                      <w:color w:val="auto"/>
                      <w:sz w:val="20"/>
                      <w:szCs w:val="20"/>
                      <w:lang w:eastAsia="en-GB"/>
                    </w:rPr>
                  </w:pPr>
                </w:p>
              </w:tc>
              <w:tc>
                <w:tcPr>
                  <w:tcW w:w="1064" w:type="dxa"/>
                  <w:tcBorders>
                    <w:top w:val="nil"/>
                    <w:left w:val="single" w:sz="4" w:space="0" w:color="auto"/>
                    <w:bottom w:val="nil"/>
                    <w:right w:val="single" w:sz="4" w:space="0" w:color="auto"/>
                  </w:tcBorders>
                  <w:shd w:val="clear" w:color="auto" w:fill="auto"/>
                  <w:noWrap/>
                  <w:vAlign w:val="center"/>
                  <w:hideMark/>
                </w:tcPr>
                <w:p w14:paraId="51263B27"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1,254</w:t>
                  </w:r>
                </w:p>
              </w:tc>
            </w:tr>
            <w:tr w:rsidR="0047462B" w:rsidRPr="0047462B" w14:paraId="67FD58A7" w14:textId="77777777" w:rsidTr="0047462B">
              <w:trPr>
                <w:trHeight w:val="290"/>
              </w:trPr>
              <w:tc>
                <w:tcPr>
                  <w:tcW w:w="1931" w:type="dxa"/>
                  <w:tcBorders>
                    <w:top w:val="nil"/>
                    <w:left w:val="single" w:sz="4" w:space="0" w:color="auto"/>
                    <w:bottom w:val="nil"/>
                    <w:right w:val="nil"/>
                  </w:tcBorders>
                  <w:shd w:val="clear" w:color="auto" w:fill="auto"/>
                  <w:noWrap/>
                  <w:vAlign w:val="center"/>
                  <w:hideMark/>
                </w:tcPr>
                <w:p w14:paraId="2D2D5785"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71" w:type="dxa"/>
                  <w:tcBorders>
                    <w:top w:val="nil"/>
                    <w:left w:val="nil"/>
                    <w:bottom w:val="nil"/>
                    <w:right w:val="single" w:sz="4" w:space="0" w:color="auto"/>
                  </w:tcBorders>
                  <w:shd w:val="clear" w:color="auto" w:fill="auto"/>
                  <w:noWrap/>
                  <w:vAlign w:val="center"/>
                  <w:hideMark/>
                </w:tcPr>
                <w:p w14:paraId="3F835A2A"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tcBorders>
                    <w:top w:val="nil"/>
                    <w:left w:val="nil"/>
                    <w:bottom w:val="nil"/>
                    <w:right w:val="single" w:sz="4" w:space="0" w:color="auto"/>
                  </w:tcBorders>
                  <w:shd w:val="clear" w:color="auto" w:fill="auto"/>
                  <w:vAlign w:val="center"/>
                  <w:hideMark/>
                </w:tcPr>
                <w:p w14:paraId="2D26D6B9" w14:textId="77777777" w:rsidR="0047462B" w:rsidRPr="0047462B" w:rsidRDefault="0047462B" w:rsidP="0047462B">
                  <w:pPr>
                    <w:spacing w:after="0" w:line="240" w:lineRule="auto"/>
                    <w:textboxTightWrap w:val="none"/>
                    <w:rPr>
                      <w:rFonts w:ascii="Arial Narrow" w:hAnsi="Arial Narrow" w:cs="Calibri"/>
                      <w:lang w:eastAsia="en-GB"/>
                    </w:rPr>
                  </w:pPr>
                  <w:r w:rsidRPr="0047462B">
                    <w:rPr>
                      <w:rFonts w:ascii="Arial Narrow" w:hAnsi="Arial Narrow" w:cs="Calibri"/>
                      <w:lang w:eastAsia="en-GB"/>
                    </w:rPr>
                    <w:t>24/25 Revenue Fair Shares Allocation</w:t>
                  </w:r>
                </w:p>
              </w:tc>
              <w:tc>
                <w:tcPr>
                  <w:tcW w:w="998" w:type="dxa"/>
                  <w:tcBorders>
                    <w:top w:val="nil"/>
                    <w:left w:val="nil"/>
                    <w:bottom w:val="nil"/>
                    <w:right w:val="nil"/>
                  </w:tcBorders>
                  <w:shd w:val="clear" w:color="auto" w:fill="auto"/>
                  <w:noWrap/>
                  <w:vAlign w:val="bottom"/>
                  <w:hideMark/>
                </w:tcPr>
                <w:p w14:paraId="46084C67"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875" w:type="dxa"/>
                  <w:tcBorders>
                    <w:top w:val="nil"/>
                    <w:left w:val="nil"/>
                    <w:bottom w:val="nil"/>
                    <w:right w:val="nil"/>
                  </w:tcBorders>
                  <w:shd w:val="clear" w:color="auto" w:fill="auto"/>
                  <w:noWrap/>
                  <w:vAlign w:val="bottom"/>
                  <w:hideMark/>
                </w:tcPr>
                <w:p w14:paraId="4767D30D" w14:textId="77777777" w:rsidR="0047462B" w:rsidRPr="0047462B" w:rsidRDefault="0047462B" w:rsidP="0047462B">
                  <w:pPr>
                    <w:spacing w:after="0" w:line="240" w:lineRule="auto"/>
                    <w:textboxTightWrap w:val="none"/>
                    <w:rPr>
                      <w:rFonts w:ascii="Arial Narrow" w:hAnsi="Arial Narrow" w:cs="Calibri"/>
                      <w:b/>
                      <w:bCs/>
                      <w:lang w:eastAsia="en-GB"/>
                    </w:rPr>
                  </w:pPr>
                </w:p>
              </w:tc>
              <w:tc>
                <w:tcPr>
                  <w:tcW w:w="1137" w:type="dxa"/>
                  <w:tcBorders>
                    <w:top w:val="nil"/>
                    <w:left w:val="nil"/>
                    <w:bottom w:val="nil"/>
                    <w:right w:val="nil"/>
                  </w:tcBorders>
                  <w:shd w:val="clear" w:color="auto" w:fill="auto"/>
                  <w:noWrap/>
                  <w:vAlign w:val="bottom"/>
                  <w:hideMark/>
                </w:tcPr>
                <w:p w14:paraId="75186612"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28" w:type="dxa"/>
                  <w:tcBorders>
                    <w:top w:val="nil"/>
                    <w:left w:val="nil"/>
                    <w:bottom w:val="nil"/>
                    <w:right w:val="nil"/>
                  </w:tcBorders>
                  <w:shd w:val="clear" w:color="auto" w:fill="auto"/>
                  <w:noWrap/>
                  <w:vAlign w:val="bottom"/>
                  <w:hideMark/>
                </w:tcPr>
                <w:p w14:paraId="4410C443"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64" w:type="dxa"/>
                  <w:tcBorders>
                    <w:top w:val="nil"/>
                    <w:left w:val="single" w:sz="4" w:space="0" w:color="auto"/>
                    <w:bottom w:val="nil"/>
                    <w:right w:val="single" w:sz="4" w:space="0" w:color="auto"/>
                  </w:tcBorders>
                  <w:shd w:val="clear" w:color="000000" w:fill="FFFFFF"/>
                  <w:noWrap/>
                  <w:vAlign w:val="bottom"/>
                  <w:hideMark/>
                </w:tcPr>
                <w:p w14:paraId="524624C4" w14:textId="77777777" w:rsidR="0047462B" w:rsidRPr="0047462B" w:rsidRDefault="0047462B" w:rsidP="0047462B">
                  <w:pPr>
                    <w:spacing w:after="0" w:line="240" w:lineRule="auto"/>
                    <w:jc w:val="right"/>
                    <w:textboxTightWrap w:val="none"/>
                    <w:rPr>
                      <w:rFonts w:ascii="Arial Narrow" w:hAnsi="Arial Narrow" w:cs="Calibri"/>
                      <w:b/>
                      <w:bCs/>
                      <w:lang w:eastAsia="en-GB"/>
                    </w:rPr>
                  </w:pPr>
                  <w:r w:rsidRPr="0047462B">
                    <w:rPr>
                      <w:rFonts w:ascii="Arial Narrow" w:hAnsi="Arial Narrow" w:cs="Calibri"/>
                      <w:b/>
                      <w:bCs/>
                      <w:lang w:eastAsia="en-GB"/>
                    </w:rPr>
                    <w:t>8,244</w:t>
                  </w:r>
                </w:p>
              </w:tc>
            </w:tr>
            <w:tr w:rsidR="0047462B" w:rsidRPr="0047462B" w14:paraId="63BF8BA4" w14:textId="77777777" w:rsidTr="0047462B">
              <w:trPr>
                <w:trHeight w:val="290"/>
              </w:trPr>
              <w:tc>
                <w:tcPr>
                  <w:tcW w:w="1931" w:type="dxa"/>
                  <w:tcBorders>
                    <w:top w:val="nil"/>
                    <w:left w:val="single" w:sz="4" w:space="0" w:color="auto"/>
                    <w:bottom w:val="nil"/>
                    <w:right w:val="nil"/>
                  </w:tcBorders>
                  <w:shd w:val="clear" w:color="auto" w:fill="auto"/>
                  <w:noWrap/>
                  <w:vAlign w:val="center"/>
                  <w:hideMark/>
                </w:tcPr>
                <w:p w14:paraId="7D3EFC9E"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71" w:type="dxa"/>
                  <w:tcBorders>
                    <w:top w:val="nil"/>
                    <w:left w:val="nil"/>
                    <w:bottom w:val="nil"/>
                    <w:right w:val="single" w:sz="4" w:space="0" w:color="auto"/>
                  </w:tcBorders>
                  <w:shd w:val="clear" w:color="auto" w:fill="auto"/>
                  <w:noWrap/>
                  <w:vAlign w:val="center"/>
                  <w:hideMark/>
                </w:tcPr>
                <w:p w14:paraId="746E468F"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tcBorders>
                    <w:top w:val="nil"/>
                    <w:left w:val="nil"/>
                    <w:bottom w:val="nil"/>
                    <w:right w:val="single" w:sz="4" w:space="0" w:color="auto"/>
                  </w:tcBorders>
                  <w:shd w:val="clear" w:color="auto" w:fill="auto"/>
                  <w:vAlign w:val="center"/>
                  <w:hideMark/>
                </w:tcPr>
                <w:p w14:paraId="4595E43E" w14:textId="6173BA33" w:rsidR="0047462B" w:rsidRPr="0047462B" w:rsidRDefault="00E97CB5" w:rsidP="0047462B">
                  <w:pPr>
                    <w:spacing w:after="0" w:line="240" w:lineRule="auto"/>
                    <w:textboxTightWrap w:val="none"/>
                    <w:rPr>
                      <w:rFonts w:ascii="Arial Narrow" w:hAnsi="Arial Narrow" w:cs="Calibri"/>
                      <w:lang w:eastAsia="en-GB"/>
                    </w:rPr>
                  </w:pPr>
                  <w:r>
                    <w:rPr>
                      <w:rFonts w:ascii="Arial Narrow" w:hAnsi="Arial Narrow" w:cs="Calibri"/>
                      <w:lang w:eastAsia="en-GB"/>
                    </w:rPr>
                    <w:t xml:space="preserve">25/26 Fair </w:t>
                  </w:r>
                  <w:r w:rsidR="0047462B" w:rsidRPr="0047462B">
                    <w:rPr>
                      <w:rFonts w:ascii="Arial Narrow" w:hAnsi="Arial Narrow" w:cs="Calibri"/>
                      <w:lang w:eastAsia="en-GB"/>
                    </w:rPr>
                    <w:t>Shares</w:t>
                  </w:r>
                  <w:r>
                    <w:rPr>
                      <w:rFonts w:ascii="Arial Narrow" w:hAnsi="Arial Narrow" w:cs="Calibri"/>
                      <w:lang w:eastAsia="en-GB"/>
                    </w:rPr>
                    <w:t xml:space="preserve"> allocation</w:t>
                  </w:r>
                </w:p>
              </w:tc>
              <w:tc>
                <w:tcPr>
                  <w:tcW w:w="998" w:type="dxa"/>
                  <w:tcBorders>
                    <w:top w:val="nil"/>
                    <w:left w:val="nil"/>
                    <w:bottom w:val="nil"/>
                    <w:right w:val="nil"/>
                  </w:tcBorders>
                  <w:shd w:val="clear" w:color="auto" w:fill="auto"/>
                  <w:noWrap/>
                  <w:vAlign w:val="bottom"/>
                  <w:hideMark/>
                </w:tcPr>
                <w:p w14:paraId="226207F3"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875" w:type="dxa"/>
                  <w:tcBorders>
                    <w:top w:val="nil"/>
                    <w:left w:val="nil"/>
                    <w:bottom w:val="nil"/>
                    <w:right w:val="nil"/>
                  </w:tcBorders>
                  <w:shd w:val="clear" w:color="auto" w:fill="auto"/>
                  <w:noWrap/>
                  <w:vAlign w:val="bottom"/>
                  <w:hideMark/>
                </w:tcPr>
                <w:p w14:paraId="25D7BE8F" w14:textId="77777777" w:rsidR="0047462B" w:rsidRPr="0047462B" w:rsidRDefault="0047462B" w:rsidP="0047462B">
                  <w:pPr>
                    <w:spacing w:after="0" w:line="240" w:lineRule="auto"/>
                    <w:textboxTightWrap w:val="none"/>
                    <w:rPr>
                      <w:rFonts w:ascii="Arial Narrow" w:hAnsi="Arial Narrow" w:cs="Calibri"/>
                      <w:b/>
                      <w:bCs/>
                      <w:lang w:eastAsia="en-GB"/>
                    </w:rPr>
                  </w:pPr>
                </w:p>
              </w:tc>
              <w:tc>
                <w:tcPr>
                  <w:tcW w:w="1137" w:type="dxa"/>
                  <w:tcBorders>
                    <w:top w:val="nil"/>
                    <w:left w:val="nil"/>
                    <w:bottom w:val="nil"/>
                    <w:right w:val="nil"/>
                  </w:tcBorders>
                  <w:shd w:val="clear" w:color="auto" w:fill="auto"/>
                  <w:noWrap/>
                  <w:vAlign w:val="bottom"/>
                  <w:hideMark/>
                </w:tcPr>
                <w:p w14:paraId="60B64026"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28" w:type="dxa"/>
                  <w:tcBorders>
                    <w:top w:val="nil"/>
                    <w:left w:val="nil"/>
                    <w:bottom w:val="nil"/>
                    <w:right w:val="nil"/>
                  </w:tcBorders>
                  <w:shd w:val="clear" w:color="auto" w:fill="auto"/>
                  <w:noWrap/>
                  <w:vAlign w:val="bottom"/>
                  <w:hideMark/>
                </w:tcPr>
                <w:p w14:paraId="4AC7E797"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64" w:type="dxa"/>
                  <w:tcBorders>
                    <w:top w:val="nil"/>
                    <w:left w:val="single" w:sz="4" w:space="0" w:color="auto"/>
                    <w:bottom w:val="nil"/>
                    <w:right w:val="single" w:sz="4" w:space="0" w:color="auto"/>
                  </w:tcBorders>
                  <w:shd w:val="clear" w:color="auto" w:fill="auto"/>
                  <w:noWrap/>
                  <w:vAlign w:val="bottom"/>
                  <w:hideMark/>
                </w:tcPr>
                <w:p w14:paraId="720C7A5F" w14:textId="3BC42A48"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r w:rsidR="00E97CB5">
                    <w:rPr>
                      <w:rFonts w:ascii="Arial Narrow" w:hAnsi="Arial Narrow" w:cs="Calibri"/>
                      <w:b/>
                      <w:bCs/>
                      <w:lang w:eastAsia="en-GB"/>
                    </w:rPr>
                    <w:t xml:space="preserve">     7,510</w:t>
                  </w:r>
                </w:p>
              </w:tc>
            </w:tr>
            <w:tr w:rsidR="0047462B" w:rsidRPr="0047462B" w14:paraId="4E5A229D" w14:textId="77777777" w:rsidTr="0047462B">
              <w:trPr>
                <w:trHeight w:val="290"/>
              </w:trPr>
              <w:tc>
                <w:tcPr>
                  <w:tcW w:w="1931" w:type="dxa"/>
                  <w:tcBorders>
                    <w:top w:val="nil"/>
                    <w:left w:val="single" w:sz="4" w:space="0" w:color="auto"/>
                    <w:bottom w:val="single" w:sz="4" w:space="0" w:color="auto"/>
                    <w:right w:val="nil"/>
                  </w:tcBorders>
                  <w:shd w:val="clear" w:color="auto" w:fill="auto"/>
                  <w:noWrap/>
                  <w:vAlign w:val="center"/>
                  <w:hideMark/>
                </w:tcPr>
                <w:p w14:paraId="465CF99B"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71" w:type="dxa"/>
                  <w:tcBorders>
                    <w:top w:val="nil"/>
                    <w:left w:val="nil"/>
                    <w:bottom w:val="single" w:sz="4" w:space="0" w:color="auto"/>
                    <w:right w:val="single" w:sz="4" w:space="0" w:color="auto"/>
                  </w:tcBorders>
                  <w:shd w:val="clear" w:color="auto" w:fill="auto"/>
                  <w:noWrap/>
                  <w:vAlign w:val="center"/>
                  <w:hideMark/>
                </w:tcPr>
                <w:p w14:paraId="77E07FC7"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14:paraId="7A92F8A4"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Potential System CDEL</w:t>
                  </w:r>
                </w:p>
              </w:tc>
              <w:tc>
                <w:tcPr>
                  <w:tcW w:w="998" w:type="dxa"/>
                  <w:tcBorders>
                    <w:top w:val="single" w:sz="4" w:space="0" w:color="auto"/>
                    <w:left w:val="nil"/>
                    <w:bottom w:val="single" w:sz="4" w:space="0" w:color="auto"/>
                    <w:right w:val="nil"/>
                  </w:tcBorders>
                  <w:shd w:val="clear" w:color="auto" w:fill="auto"/>
                  <w:noWrap/>
                  <w:vAlign w:val="bottom"/>
                  <w:hideMark/>
                </w:tcPr>
                <w:p w14:paraId="73599573"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875" w:type="dxa"/>
                  <w:tcBorders>
                    <w:top w:val="single" w:sz="4" w:space="0" w:color="auto"/>
                    <w:left w:val="nil"/>
                    <w:bottom w:val="single" w:sz="4" w:space="0" w:color="auto"/>
                    <w:right w:val="nil"/>
                  </w:tcBorders>
                  <w:shd w:val="clear" w:color="auto" w:fill="auto"/>
                  <w:noWrap/>
                  <w:vAlign w:val="bottom"/>
                  <w:hideMark/>
                </w:tcPr>
                <w:p w14:paraId="4EC74FF1"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1137" w:type="dxa"/>
                  <w:tcBorders>
                    <w:top w:val="single" w:sz="4" w:space="0" w:color="auto"/>
                    <w:left w:val="nil"/>
                    <w:bottom w:val="single" w:sz="4" w:space="0" w:color="auto"/>
                    <w:right w:val="nil"/>
                  </w:tcBorders>
                  <w:shd w:val="clear" w:color="auto" w:fill="auto"/>
                  <w:noWrap/>
                  <w:vAlign w:val="bottom"/>
                  <w:hideMark/>
                </w:tcPr>
                <w:p w14:paraId="4F52B16F"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1028" w:type="dxa"/>
                  <w:tcBorders>
                    <w:top w:val="single" w:sz="4" w:space="0" w:color="auto"/>
                    <w:left w:val="nil"/>
                    <w:bottom w:val="single" w:sz="4" w:space="0" w:color="auto"/>
                    <w:right w:val="nil"/>
                  </w:tcBorders>
                  <w:shd w:val="clear" w:color="auto" w:fill="auto"/>
                  <w:noWrap/>
                  <w:vAlign w:val="bottom"/>
                  <w:hideMark/>
                </w:tcPr>
                <w:p w14:paraId="326DC3D8"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0B1D" w14:textId="7770F30B" w:rsidR="0047462B" w:rsidRPr="0047462B" w:rsidRDefault="00E97CB5" w:rsidP="0047462B">
                  <w:pPr>
                    <w:spacing w:after="0" w:line="240" w:lineRule="auto"/>
                    <w:jc w:val="right"/>
                    <w:textboxTightWrap w:val="none"/>
                    <w:rPr>
                      <w:rFonts w:ascii="Arial Narrow" w:hAnsi="Arial Narrow" w:cs="Calibri"/>
                      <w:b/>
                      <w:bCs/>
                      <w:lang w:eastAsia="en-GB"/>
                    </w:rPr>
                  </w:pPr>
                  <w:r>
                    <w:rPr>
                      <w:rFonts w:ascii="Arial Narrow" w:hAnsi="Arial Narrow" w:cs="Calibri"/>
                      <w:b/>
                      <w:bCs/>
                      <w:lang w:eastAsia="en-GB"/>
                    </w:rPr>
                    <w:t>60,627</w:t>
                  </w:r>
                </w:p>
              </w:tc>
            </w:tr>
            <w:tr w:rsidR="0047462B" w:rsidRPr="0047462B" w14:paraId="79B6C5A1" w14:textId="77777777" w:rsidTr="0047462B">
              <w:trPr>
                <w:trHeight w:val="180"/>
              </w:trPr>
              <w:tc>
                <w:tcPr>
                  <w:tcW w:w="1931" w:type="dxa"/>
                  <w:tcBorders>
                    <w:top w:val="nil"/>
                    <w:left w:val="nil"/>
                    <w:bottom w:val="nil"/>
                    <w:right w:val="nil"/>
                  </w:tcBorders>
                  <w:shd w:val="clear" w:color="auto" w:fill="auto"/>
                  <w:noWrap/>
                  <w:vAlign w:val="center"/>
                  <w:hideMark/>
                </w:tcPr>
                <w:p w14:paraId="72EEBB05" w14:textId="77777777" w:rsidR="0047462B" w:rsidRPr="0047462B" w:rsidRDefault="0047462B" w:rsidP="0047462B">
                  <w:pPr>
                    <w:spacing w:after="0" w:line="240" w:lineRule="auto"/>
                    <w:jc w:val="right"/>
                    <w:textboxTightWrap w:val="none"/>
                    <w:rPr>
                      <w:rFonts w:ascii="Arial Narrow" w:hAnsi="Arial Narrow" w:cs="Calibri"/>
                      <w:b/>
                      <w:bCs/>
                      <w:lang w:eastAsia="en-GB"/>
                    </w:rPr>
                  </w:pPr>
                </w:p>
              </w:tc>
              <w:tc>
                <w:tcPr>
                  <w:tcW w:w="271" w:type="dxa"/>
                  <w:tcBorders>
                    <w:top w:val="nil"/>
                    <w:left w:val="nil"/>
                    <w:bottom w:val="nil"/>
                    <w:right w:val="nil"/>
                  </w:tcBorders>
                  <w:shd w:val="clear" w:color="auto" w:fill="auto"/>
                  <w:noWrap/>
                  <w:vAlign w:val="center"/>
                  <w:hideMark/>
                </w:tcPr>
                <w:p w14:paraId="4B89B4CA"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2324" w:type="dxa"/>
                  <w:tcBorders>
                    <w:top w:val="nil"/>
                    <w:left w:val="nil"/>
                    <w:bottom w:val="nil"/>
                    <w:right w:val="nil"/>
                  </w:tcBorders>
                  <w:shd w:val="clear" w:color="auto" w:fill="auto"/>
                  <w:vAlign w:val="center"/>
                  <w:hideMark/>
                </w:tcPr>
                <w:p w14:paraId="7CE97A87"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998" w:type="dxa"/>
                  <w:tcBorders>
                    <w:top w:val="nil"/>
                    <w:left w:val="nil"/>
                    <w:bottom w:val="nil"/>
                    <w:right w:val="nil"/>
                  </w:tcBorders>
                  <w:shd w:val="clear" w:color="auto" w:fill="auto"/>
                  <w:noWrap/>
                  <w:vAlign w:val="bottom"/>
                  <w:hideMark/>
                </w:tcPr>
                <w:p w14:paraId="240E8262"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875" w:type="dxa"/>
                  <w:tcBorders>
                    <w:top w:val="nil"/>
                    <w:left w:val="nil"/>
                    <w:bottom w:val="nil"/>
                    <w:right w:val="nil"/>
                  </w:tcBorders>
                  <w:shd w:val="clear" w:color="auto" w:fill="auto"/>
                  <w:noWrap/>
                  <w:vAlign w:val="bottom"/>
                  <w:hideMark/>
                </w:tcPr>
                <w:p w14:paraId="5BACAE76"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137" w:type="dxa"/>
                  <w:tcBorders>
                    <w:top w:val="nil"/>
                    <w:left w:val="nil"/>
                    <w:bottom w:val="nil"/>
                    <w:right w:val="nil"/>
                  </w:tcBorders>
                  <w:shd w:val="clear" w:color="auto" w:fill="auto"/>
                  <w:noWrap/>
                  <w:vAlign w:val="bottom"/>
                  <w:hideMark/>
                </w:tcPr>
                <w:p w14:paraId="0AADBBF0"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28" w:type="dxa"/>
                  <w:tcBorders>
                    <w:top w:val="nil"/>
                    <w:left w:val="nil"/>
                    <w:bottom w:val="nil"/>
                    <w:right w:val="nil"/>
                  </w:tcBorders>
                  <w:shd w:val="clear" w:color="auto" w:fill="auto"/>
                  <w:noWrap/>
                  <w:vAlign w:val="bottom"/>
                  <w:hideMark/>
                </w:tcPr>
                <w:p w14:paraId="460F9C36"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c>
                <w:tcPr>
                  <w:tcW w:w="1064" w:type="dxa"/>
                  <w:tcBorders>
                    <w:top w:val="nil"/>
                    <w:left w:val="nil"/>
                    <w:bottom w:val="nil"/>
                    <w:right w:val="nil"/>
                  </w:tcBorders>
                  <w:shd w:val="clear" w:color="auto" w:fill="auto"/>
                  <w:noWrap/>
                  <w:vAlign w:val="bottom"/>
                  <w:hideMark/>
                </w:tcPr>
                <w:p w14:paraId="5FE89C08" w14:textId="77777777" w:rsidR="0047462B" w:rsidRPr="0047462B" w:rsidRDefault="0047462B" w:rsidP="0047462B">
                  <w:pPr>
                    <w:spacing w:after="0" w:line="240" w:lineRule="auto"/>
                    <w:textboxTightWrap w:val="none"/>
                    <w:rPr>
                      <w:rFonts w:ascii="Times New Roman" w:hAnsi="Times New Roman"/>
                      <w:color w:val="auto"/>
                      <w:sz w:val="20"/>
                      <w:szCs w:val="20"/>
                      <w:lang w:eastAsia="en-GB"/>
                    </w:rPr>
                  </w:pPr>
                </w:p>
              </w:tc>
            </w:tr>
            <w:tr w:rsidR="0047462B" w:rsidRPr="0047462B" w14:paraId="11C4B09E" w14:textId="77777777" w:rsidTr="0047462B">
              <w:trPr>
                <w:trHeight w:val="290"/>
              </w:trPr>
              <w:tc>
                <w:tcPr>
                  <w:tcW w:w="1931" w:type="dxa"/>
                  <w:tcBorders>
                    <w:top w:val="single" w:sz="4" w:space="0" w:color="auto"/>
                    <w:left w:val="single" w:sz="4" w:space="0" w:color="auto"/>
                    <w:bottom w:val="single" w:sz="4" w:space="0" w:color="auto"/>
                    <w:right w:val="nil"/>
                  </w:tcBorders>
                  <w:shd w:val="clear" w:color="auto" w:fill="auto"/>
                  <w:noWrap/>
                  <w:vAlign w:val="center"/>
                  <w:hideMark/>
                </w:tcPr>
                <w:p w14:paraId="73C8B2D0"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Total Funding</w:t>
                  </w:r>
                </w:p>
              </w:tc>
              <w:tc>
                <w:tcPr>
                  <w:tcW w:w="271" w:type="dxa"/>
                  <w:tcBorders>
                    <w:top w:val="single" w:sz="4" w:space="0" w:color="auto"/>
                    <w:left w:val="nil"/>
                    <w:bottom w:val="single" w:sz="4" w:space="0" w:color="auto"/>
                    <w:right w:val="nil"/>
                  </w:tcBorders>
                  <w:shd w:val="clear" w:color="auto" w:fill="auto"/>
                  <w:noWrap/>
                  <w:vAlign w:val="center"/>
                  <w:hideMark/>
                </w:tcPr>
                <w:p w14:paraId="7580C32E"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2324" w:type="dxa"/>
                  <w:tcBorders>
                    <w:top w:val="single" w:sz="4" w:space="0" w:color="auto"/>
                    <w:left w:val="nil"/>
                    <w:bottom w:val="single" w:sz="4" w:space="0" w:color="auto"/>
                    <w:right w:val="nil"/>
                  </w:tcBorders>
                  <w:shd w:val="clear" w:color="auto" w:fill="auto"/>
                  <w:vAlign w:val="center"/>
                  <w:hideMark/>
                </w:tcPr>
                <w:p w14:paraId="67CCB205"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998" w:type="dxa"/>
                  <w:tcBorders>
                    <w:top w:val="single" w:sz="4" w:space="0" w:color="auto"/>
                    <w:left w:val="single" w:sz="4" w:space="0" w:color="auto"/>
                    <w:bottom w:val="single" w:sz="4" w:space="0" w:color="auto"/>
                    <w:right w:val="nil"/>
                  </w:tcBorders>
                  <w:shd w:val="clear" w:color="auto" w:fill="auto"/>
                  <w:noWrap/>
                  <w:vAlign w:val="bottom"/>
                  <w:hideMark/>
                </w:tcPr>
                <w:p w14:paraId="32D662D4"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875" w:type="dxa"/>
                  <w:tcBorders>
                    <w:top w:val="single" w:sz="4" w:space="0" w:color="auto"/>
                    <w:left w:val="nil"/>
                    <w:bottom w:val="single" w:sz="4" w:space="0" w:color="auto"/>
                    <w:right w:val="nil"/>
                  </w:tcBorders>
                  <w:shd w:val="clear" w:color="auto" w:fill="auto"/>
                  <w:noWrap/>
                  <w:vAlign w:val="bottom"/>
                  <w:hideMark/>
                </w:tcPr>
                <w:p w14:paraId="659A1FE7"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1137" w:type="dxa"/>
                  <w:tcBorders>
                    <w:top w:val="single" w:sz="4" w:space="0" w:color="auto"/>
                    <w:left w:val="nil"/>
                    <w:bottom w:val="single" w:sz="4" w:space="0" w:color="auto"/>
                    <w:right w:val="nil"/>
                  </w:tcBorders>
                  <w:shd w:val="clear" w:color="auto" w:fill="auto"/>
                  <w:noWrap/>
                  <w:vAlign w:val="bottom"/>
                  <w:hideMark/>
                </w:tcPr>
                <w:p w14:paraId="64C6C64B"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14:paraId="38B2223C" w14:textId="77777777" w:rsidR="0047462B" w:rsidRPr="0047462B" w:rsidRDefault="0047462B" w:rsidP="0047462B">
                  <w:pPr>
                    <w:spacing w:after="0" w:line="240" w:lineRule="auto"/>
                    <w:textboxTightWrap w:val="none"/>
                    <w:rPr>
                      <w:rFonts w:ascii="Arial Narrow" w:hAnsi="Arial Narrow" w:cs="Calibri"/>
                      <w:b/>
                      <w:bCs/>
                      <w:lang w:eastAsia="en-GB"/>
                    </w:rPr>
                  </w:pPr>
                  <w:r w:rsidRPr="0047462B">
                    <w:rPr>
                      <w:rFonts w:ascii="Arial Narrow" w:hAnsi="Arial Narrow" w:cs="Calibri"/>
                      <w:b/>
                      <w:bCs/>
                      <w:lang w:eastAsia="en-GB"/>
                    </w:rPr>
                    <w:t> </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24D81C5C" w14:textId="1C067DA1" w:rsidR="0047462B" w:rsidRPr="0047462B" w:rsidRDefault="00DC7E09" w:rsidP="0047462B">
                  <w:pPr>
                    <w:spacing w:after="0" w:line="240" w:lineRule="auto"/>
                    <w:jc w:val="right"/>
                    <w:textboxTightWrap w:val="none"/>
                    <w:rPr>
                      <w:rFonts w:ascii="Arial Narrow" w:hAnsi="Arial Narrow" w:cs="Calibri"/>
                      <w:b/>
                      <w:bCs/>
                      <w:lang w:eastAsia="en-GB"/>
                    </w:rPr>
                  </w:pPr>
                  <w:r>
                    <w:rPr>
                      <w:rFonts w:ascii="Arial Narrow" w:hAnsi="Arial Narrow" w:cs="Calibri"/>
                      <w:b/>
                      <w:bCs/>
                      <w:lang w:eastAsia="en-GB"/>
                    </w:rPr>
                    <w:t>81,828</w:t>
                  </w:r>
                </w:p>
              </w:tc>
            </w:tr>
          </w:tbl>
          <w:p w14:paraId="1657DF7F" w14:textId="546A3727" w:rsidR="00327E3E" w:rsidRPr="001926F6" w:rsidRDefault="00327E3E" w:rsidP="00327E3E">
            <w:pPr>
              <w:rPr>
                <w:rFonts w:cs="Arial"/>
                <w:color w:val="auto"/>
                <w:sz w:val="18"/>
                <w:szCs w:val="18"/>
              </w:rPr>
            </w:pPr>
            <w:r w:rsidRPr="001926F6">
              <w:rPr>
                <w:rFonts w:cs="Arial"/>
                <w:color w:val="auto"/>
                <w:sz w:val="18"/>
                <w:szCs w:val="18"/>
              </w:rPr>
              <w:t xml:space="preserve">* </w:t>
            </w:r>
            <w:proofErr w:type="gramStart"/>
            <w:r w:rsidRPr="001926F6">
              <w:rPr>
                <w:rFonts w:cs="Arial"/>
                <w:color w:val="auto"/>
                <w:sz w:val="18"/>
                <w:szCs w:val="18"/>
              </w:rPr>
              <w:t>technical</w:t>
            </w:r>
            <w:proofErr w:type="gramEnd"/>
            <w:r w:rsidRPr="001926F6">
              <w:rPr>
                <w:rFonts w:cs="Arial"/>
                <w:color w:val="auto"/>
                <w:sz w:val="18"/>
                <w:szCs w:val="18"/>
              </w:rPr>
              <w:t xml:space="preserve"> adjustment, not true funding</w:t>
            </w:r>
          </w:p>
          <w:p w14:paraId="4B95249F" w14:textId="30495EC4" w:rsidR="00327E3E" w:rsidRDefault="00327E3E" w:rsidP="00327E3E">
            <w:pPr>
              <w:rPr>
                <w:rFonts w:cs="Arial"/>
                <w:color w:val="auto"/>
              </w:rPr>
            </w:pPr>
            <w:r>
              <w:rPr>
                <w:rFonts w:cs="Arial"/>
                <w:color w:val="auto"/>
              </w:rPr>
              <w:t xml:space="preserve">Organisations, in line with their strategies, have </w:t>
            </w:r>
            <w:proofErr w:type="gramStart"/>
            <w:r>
              <w:rPr>
                <w:rFonts w:cs="Arial"/>
                <w:color w:val="auto"/>
              </w:rPr>
              <w:t>a number of</w:t>
            </w:r>
            <w:proofErr w:type="gramEnd"/>
            <w:r>
              <w:rPr>
                <w:rFonts w:cs="Arial"/>
                <w:color w:val="auto"/>
              </w:rPr>
              <w:t xml:space="preserve"> disposals planned in this and future years.  These disposals form part of the overall capital planning and provide an additional source of capital funding.  It is anticipated that as part of the infrastructure strategy currently being finalised, other opportunities to dispose of land and buildings may be identified and built into capital planning for future years.</w:t>
            </w:r>
          </w:p>
          <w:p w14:paraId="38B543E9" w14:textId="7C8F7D0C" w:rsidR="00327E3E" w:rsidRDefault="00327E3E">
            <w:pPr>
              <w:rPr>
                <w:rFonts w:cs="Arial"/>
                <w:color w:val="auto"/>
              </w:rPr>
            </w:pPr>
            <w:r>
              <w:rPr>
                <w:rFonts w:cs="Arial"/>
                <w:color w:val="auto"/>
              </w:rPr>
              <w:t xml:space="preserve">The System is </w:t>
            </w:r>
            <w:r w:rsidR="0049494F">
              <w:rPr>
                <w:rFonts w:cs="Arial"/>
                <w:color w:val="auto"/>
              </w:rPr>
              <w:t xml:space="preserve">currently </w:t>
            </w:r>
            <w:r>
              <w:rPr>
                <w:rFonts w:cs="Arial"/>
                <w:color w:val="auto"/>
              </w:rPr>
              <w:t xml:space="preserve">bidding for capital against </w:t>
            </w:r>
            <w:proofErr w:type="gramStart"/>
            <w:r>
              <w:rPr>
                <w:rFonts w:cs="Arial"/>
                <w:color w:val="auto"/>
              </w:rPr>
              <w:t>a number of</w:t>
            </w:r>
            <w:proofErr w:type="gramEnd"/>
            <w:r>
              <w:rPr>
                <w:rFonts w:cs="Arial"/>
                <w:color w:val="auto"/>
              </w:rPr>
              <w:t xml:space="preserve"> national capital </w:t>
            </w:r>
            <w:proofErr w:type="gramStart"/>
            <w:r>
              <w:rPr>
                <w:rFonts w:cs="Arial"/>
                <w:color w:val="auto"/>
              </w:rPr>
              <w:t>programmes,</w:t>
            </w:r>
            <w:proofErr w:type="gramEnd"/>
            <w:r>
              <w:rPr>
                <w:rFonts w:cs="Arial"/>
                <w:color w:val="auto"/>
              </w:rPr>
              <w:t xml:space="preserve"> the values of the bids are set out below:</w:t>
            </w:r>
          </w:p>
          <w:p w14:paraId="434D81DD" w14:textId="01820D32" w:rsidR="00327E3E" w:rsidRPr="0047462B" w:rsidRDefault="00327E3E" w:rsidP="00327E3E">
            <w:pPr>
              <w:pStyle w:val="ListParagraph"/>
              <w:numPr>
                <w:ilvl w:val="0"/>
                <w:numId w:val="27"/>
              </w:numPr>
              <w:rPr>
                <w:rFonts w:cs="Arial"/>
                <w:color w:val="auto"/>
              </w:rPr>
            </w:pPr>
            <w:r w:rsidRPr="0047462B">
              <w:rPr>
                <w:rFonts w:cs="Arial"/>
                <w:color w:val="auto"/>
              </w:rPr>
              <w:t>Critical Infrastructure Programme: £</w:t>
            </w:r>
            <w:r w:rsidR="00B27550">
              <w:rPr>
                <w:rFonts w:cs="Arial"/>
                <w:color w:val="auto"/>
              </w:rPr>
              <w:t>9</w:t>
            </w:r>
            <w:r w:rsidR="0047462B" w:rsidRPr="0047462B">
              <w:rPr>
                <w:rFonts w:cs="Arial"/>
                <w:color w:val="auto"/>
              </w:rPr>
              <w:t>.</w:t>
            </w:r>
            <w:r w:rsidR="00B27550">
              <w:rPr>
                <w:rFonts w:cs="Arial"/>
                <w:color w:val="auto"/>
              </w:rPr>
              <w:t>7</w:t>
            </w:r>
            <w:r w:rsidRPr="0047462B">
              <w:rPr>
                <w:rFonts w:cs="Arial"/>
                <w:color w:val="auto"/>
              </w:rPr>
              <w:t>m</w:t>
            </w:r>
          </w:p>
          <w:p w14:paraId="22FEBCF2" w14:textId="3867436F" w:rsidR="00327E3E" w:rsidRPr="0047462B" w:rsidRDefault="00327E3E" w:rsidP="00327E3E">
            <w:pPr>
              <w:pStyle w:val="ListParagraph"/>
              <w:numPr>
                <w:ilvl w:val="0"/>
                <w:numId w:val="27"/>
              </w:numPr>
              <w:rPr>
                <w:rFonts w:cs="Arial"/>
                <w:color w:val="auto"/>
              </w:rPr>
            </w:pPr>
            <w:r w:rsidRPr="0047462B">
              <w:rPr>
                <w:rFonts w:cs="Arial"/>
                <w:color w:val="auto"/>
              </w:rPr>
              <w:t>Constitutional Standards Programme £</w:t>
            </w:r>
            <w:r w:rsidR="00DC7E09">
              <w:rPr>
                <w:rFonts w:cs="Arial"/>
                <w:color w:val="auto"/>
              </w:rPr>
              <w:t>2.1</w:t>
            </w:r>
            <w:r w:rsidR="00355691">
              <w:rPr>
                <w:rFonts w:cs="Arial"/>
                <w:color w:val="auto"/>
              </w:rPr>
              <w:t xml:space="preserve"> </w:t>
            </w:r>
          </w:p>
          <w:p w14:paraId="7515FF94" w14:textId="47D94A26" w:rsidR="00327E3E" w:rsidRPr="0047462B" w:rsidRDefault="00327E3E" w:rsidP="00327E3E">
            <w:pPr>
              <w:pStyle w:val="ListParagraph"/>
              <w:numPr>
                <w:ilvl w:val="0"/>
                <w:numId w:val="27"/>
              </w:numPr>
              <w:rPr>
                <w:rFonts w:cs="Arial"/>
                <w:color w:val="auto"/>
              </w:rPr>
            </w:pPr>
            <w:r w:rsidRPr="0047462B">
              <w:rPr>
                <w:rFonts w:cs="Arial"/>
                <w:color w:val="auto"/>
              </w:rPr>
              <w:t>Primary Care Improvement Programme £</w:t>
            </w:r>
            <w:r w:rsidR="00E461C7" w:rsidRPr="0047462B">
              <w:rPr>
                <w:rFonts w:cs="Arial"/>
                <w:color w:val="auto"/>
              </w:rPr>
              <w:t>1</w:t>
            </w:r>
            <w:r w:rsidR="0049494F" w:rsidRPr="0047462B">
              <w:rPr>
                <w:rFonts w:cs="Arial"/>
                <w:color w:val="auto"/>
              </w:rPr>
              <w:t>.</w:t>
            </w:r>
            <w:r w:rsidRPr="0047462B">
              <w:rPr>
                <w:rFonts w:cs="Arial"/>
                <w:color w:val="auto"/>
              </w:rPr>
              <w:t>m</w:t>
            </w:r>
          </w:p>
          <w:p w14:paraId="152CD60B" w14:textId="67233735" w:rsidR="00327E3E" w:rsidRDefault="00327E3E">
            <w:pPr>
              <w:rPr>
                <w:rFonts w:cs="Arial"/>
                <w:color w:val="auto"/>
              </w:rPr>
            </w:pPr>
            <w:r>
              <w:rPr>
                <w:rFonts w:cs="Arial"/>
                <w:color w:val="auto"/>
              </w:rPr>
              <w:t>These bids, if successful</w:t>
            </w:r>
            <w:r w:rsidR="0049494F">
              <w:rPr>
                <w:rFonts w:cs="Arial"/>
                <w:color w:val="auto"/>
              </w:rPr>
              <w:t>,</w:t>
            </w:r>
            <w:r>
              <w:rPr>
                <w:rFonts w:cs="Arial"/>
                <w:color w:val="auto"/>
              </w:rPr>
              <w:t xml:space="preserve"> will enable the system to</w:t>
            </w:r>
          </w:p>
          <w:p w14:paraId="68B63194" w14:textId="6978E183" w:rsidR="00327E3E" w:rsidRDefault="00327E3E" w:rsidP="00327E3E">
            <w:pPr>
              <w:pStyle w:val="ListParagraph"/>
              <w:numPr>
                <w:ilvl w:val="0"/>
                <w:numId w:val="29"/>
              </w:numPr>
              <w:rPr>
                <w:rFonts w:cs="Arial"/>
                <w:color w:val="auto"/>
              </w:rPr>
            </w:pPr>
            <w:r w:rsidRPr="00327E3E">
              <w:rPr>
                <w:rFonts w:cs="Arial"/>
                <w:color w:val="auto"/>
              </w:rPr>
              <w:t>progress its backlog maintenance and safety programme within Gloucestershire Hospitals Foundation Trust at a faster pace</w:t>
            </w:r>
            <w:r>
              <w:rPr>
                <w:rFonts w:cs="Arial"/>
                <w:color w:val="auto"/>
              </w:rPr>
              <w:t xml:space="preserve">, reducing critical infrastructure backlog maintenance by c£8.4m and </w:t>
            </w:r>
            <w:proofErr w:type="spellStart"/>
            <w:proofErr w:type="gramStart"/>
            <w:r>
              <w:rPr>
                <w:rFonts w:cs="Arial"/>
                <w:color w:val="auto"/>
              </w:rPr>
              <w:t>non critical</w:t>
            </w:r>
            <w:proofErr w:type="spellEnd"/>
            <w:proofErr w:type="gramEnd"/>
            <w:r>
              <w:rPr>
                <w:rFonts w:cs="Arial"/>
                <w:color w:val="auto"/>
              </w:rPr>
              <w:t xml:space="preserve"> infrastructure backlog maintenance by £1.7m</w:t>
            </w:r>
          </w:p>
          <w:p w14:paraId="75181F75" w14:textId="7D9EA266" w:rsidR="00327E3E" w:rsidRDefault="00327E3E" w:rsidP="00327E3E">
            <w:pPr>
              <w:pStyle w:val="ListParagraph"/>
              <w:numPr>
                <w:ilvl w:val="0"/>
                <w:numId w:val="29"/>
              </w:numPr>
              <w:rPr>
                <w:rFonts w:cs="Arial"/>
                <w:color w:val="auto"/>
              </w:rPr>
            </w:pPr>
            <w:r>
              <w:rPr>
                <w:rFonts w:cs="Arial"/>
                <w:color w:val="auto"/>
              </w:rPr>
              <w:t>improve performance in planned care, specifically in urology</w:t>
            </w:r>
          </w:p>
          <w:p w14:paraId="4426AF0D" w14:textId="3D8B2A83" w:rsidR="00327E3E" w:rsidRDefault="00327E3E" w:rsidP="00327E3E">
            <w:pPr>
              <w:pStyle w:val="ListParagraph"/>
              <w:numPr>
                <w:ilvl w:val="0"/>
                <w:numId w:val="29"/>
              </w:numPr>
              <w:rPr>
                <w:rFonts w:cs="Arial"/>
                <w:color w:val="auto"/>
              </w:rPr>
            </w:pPr>
            <w:r>
              <w:rPr>
                <w:rFonts w:cs="Arial"/>
                <w:color w:val="auto"/>
              </w:rPr>
              <w:t>improve performance in diagnostics</w:t>
            </w:r>
            <w:r w:rsidR="0049494F">
              <w:rPr>
                <w:rFonts w:cs="Arial"/>
                <w:color w:val="auto"/>
              </w:rPr>
              <w:t xml:space="preserve"> by replacing an </w:t>
            </w:r>
            <w:r w:rsidR="00C40E89">
              <w:rPr>
                <w:rFonts w:cs="Arial"/>
                <w:color w:val="auto"/>
              </w:rPr>
              <w:t xml:space="preserve">additional </w:t>
            </w:r>
            <w:r w:rsidR="0049494F">
              <w:rPr>
                <w:rFonts w:cs="Arial"/>
                <w:color w:val="auto"/>
              </w:rPr>
              <w:t>CT scanner</w:t>
            </w:r>
          </w:p>
          <w:p w14:paraId="3E31140F" w14:textId="2E6607EA" w:rsidR="00E461C7" w:rsidRDefault="00E461C7" w:rsidP="00327E3E">
            <w:pPr>
              <w:pStyle w:val="ListParagraph"/>
              <w:numPr>
                <w:ilvl w:val="0"/>
                <w:numId w:val="29"/>
              </w:numPr>
              <w:rPr>
                <w:rFonts w:cs="Arial"/>
                <w:color w:val="auto"/>
              </w:rPr>
            </w:pPr>
            <w:r>
              <w:rPr>
                <w:rFonts w:cs="Arial"/>
                <w:color w:val="auto"/>
              </w:rPr>
              <w:t>increase the number of clinical rooms in primary care premises</w:t>
            </w:r>
          </w:p>
          <w:p w14:paraId="562ACA4B" w14:textId="3D4FAA61" w:rsidR="0049494F" w:rsidRDefault="0049494F" w:rsidP="0049494F">
            <w:pPr>
              <w:rPr>
                <w:rFonts w:cs="Arial"/>
                <w:color w:val="auto"/>
              </w:rPr>
            </w:pPr>
            <w:r>
              <w:rPr>
                <w:rFonts w:cs="Arial"/>
                <w:color w:val="auto"/>
              </w:rPr>
              <w:t>The benefits and revenue costs associated with these bids are being finalised and the cases assessed for value for money and revenue affordability.</w:t>
            </w:r>
          </w:p>
          <w:p w14:paraId="5ACF00DA" w14:textId="77777777" w:rsidR="00364E2C" w:rsidRDefault="00364E2C" w:rsidP="00364E2C">
            <w:pPr>
              <w:spacing w:after="0" w:line="240" w:lineRule="auto"/>
              <w:contextualSpacing/>
              <w:textboxTightWrap w:val="none"/>
            </w:pPr>
            <w:r w:rsidRPr="00351976">
              <w:rPr>
                <w:rFonts w:cs="Arial"/>
                <w:b/>
                <w:bCs/>
                <w:color w:val="231F20" w:themeColor="background1"/>
              </w:rPr>
              <w:t>Risks and contingencies</w:t>
            </w:r>
            <w:r>
              <w:t xml:space="preserve"> </w:t>
            </w:r>
          </w:p>
          <w:p w14:paraId="600F8B92" w14:textId="77777777" w:rsidR="00364E2C" w:rsidRDefault="00364E2C" w:rsidP="00364E2C">
            <w:pPr>
              <w:spacing w:after="0" w:line="240" w:lineRule="auto"/>
              <w:contextualSpacing/>
              <w:textboxTightWrap w:val="none"/>
            </w:pPr>
          </w:p>
          <w:p w14:paraId="58E5B397" w14:textId="33057D2B" w:rsidR="00364E2C" w:rsidRDefault="00364E2C" w:rsidP="00364E2C">
            <w:pPr>
              <w:spacing w:after="0" w:line="240" w:lineRule="auto"/>
              <w:contextualSpacing/>
              <w:textboxTightWrap w:val="none"/>
            </w:pPr>
            <w:r>
              <w:t xml:space="preserve">The System has taken a risk-based approach to prioritise expenditure within the capital allocation. The capital budget is </w:t>
            </w:r>
            <w:proofErr w:type="gramStart"/>
            <w:r>
              <w:t>limited</w:t>
            </w:r>
            <w:proofErr w:type="gramEnd"/>
            <w:r>
              <w:t xml:space="preserve"> and we need to ensure that our services and environments are safe and fit-for-purpose for patients, staff and the public, balancing investment between backlog maintenance, replacing old and ageing medical scanners, investment in cyber security and major estates developments. </w:t>
            </w:r>
          </w:p>
          <w:p w14:paraId="7F279E77" w14:textId="77777777" w:rsidR="00364E2C" w:rsidRDefault="00364E2C" w:rsidP="00364E2C">
            <w:pPr>
              <w:spacing w:after="0" w:line="240" w:lineRule="auto"/>
              <w:contextualSpacing/>
              <w:textboxTightWrap w:val="none"/>
            </w:pPr>
          </w:p>
          <w:p w14:paraId="2DF729AD" w14:textId="2B045AA5" w:rsidR="00364E2C" w:rsidRDefault="00364E2C" w:rsidP="00364E2C">
            <w:pPr>
              <w:spacing w:after="0" w:line="240" w:lineRule="auto"/>
              <w:contextualSpacing/>
              <w:textboxTightWrap w:val="none"/>
            </w:pPr>
            <w:r>
              <w:t xml:space="preserve">Key risks to monitor and manage throughout 2025/26 include: </w:t>
            </w:r>
          </w:p>
          <w:p w14:paraId="2E52580F" w14:textId="77777777" w:rsidR="00C40E89" w:rsidRDefault="00C40E89" w:rsidP="00364E2C">
            <w:pPr>
              <w:spacing w:after="0" w:line="240" w:lineRule="auto"/>
              <w:contextualSpacing/>
              <w:textboxTightWrap w:val="none"/>
            </w:pPr>
          </w:p>
          <w:p w14:paraId="7E06A1CB" w14:textId="4D9801EF" w:rsidR="00364E2C" w:rsidRPr="0052153A" w:rsidRDefault="00364E2C" w:rsidP="00364E2C">
            <w:pPr>
              <w:pStyle w:val="ListParagraph"/>
              <w:numPr>
                <w:ilvl w:val="0"/>
                <w:numId w:val="30"/>
              </w:numPr>
              <w:spacing w:after="0" w:line="240" w:lineRule="auto"/>
              <w:contextualSpacing/>
              <w:textboxTightWrap w:val="none"/>
              <w:rPr>
                <w:rFonts w:cs="Arial"/>
                <w:color w:val="auto"/>
                <w:sz w:val="22"/>
                <w:szCs w:val="22"/>
              </w:rPr>
            </w:pPr>
            <w:r>
              <w:t>Not being able to deliver to the timelines built into the plan, for instance, due to underestimating the timelines required for business case approval processes</w:t>
            </w:r>
            <w:r w:rsidR="00C40E89">
              <w:t xml:space="preserve"> or procurement</w:t>
            </w:r>
            <w:r>
              <w:t xml:space="preserve">. If these processes take longer than we anticipate, this can impact the phasing of expenditure and estimated prices, should this </w:t>
            </w:r>
            <w:proofErr w:type="gramStart"/>
            <w:r>
              <w:t>occur</w:t>
            </w:r>
            <w:proofErr w:type="gramEnd"/>
            <w:r>
              <w:t xml:space="preserve"> we will reprioritise the schemes in the plan. </w:t>
            </w:r>
          </w:p>
          <w:p w14:paraId="5F79E1AE" w14:textId="77777777" w:rsidR="00364E2C" w:rsidRPr="0052153A" w:rsidRDefault="00364E2C" w:rsidP="00364E2C">
            <w:pPr>
              <w:pStyle w:val="ListParagraph"/>
              <w:spacing w:after="0" w:line="240" w:lineRule="auto"/>
              <w:ind w:left="720" w:firstLine="0"/>
              <w:contextualSpacing/>
              <w:textboxTightWrap w:val="none"/>
              <w:rPr>
                <w:rFonts w:cs="Arial"/>
                <w:color w:val="auto"/>
                <w:sz w:val="22"/>
                <w:szCs w:val="22"/>
              </w:rPr>
            </w:pPr>
          </w:p>
          <w:p w14:paraId="2C14F12F" w14:textId="3607A495" w:rsidR="00C40E89" w:rsidRPr="00C40E89" w:rsidRDefault="00C40E89" w:rsidP="00C57B90">
            <w:pPr>
              <w:pStyle w:val="ListParagraph"/>
              <w:numPr>
                <w:ilvl w:val="0"/>
                <w:numId w:val="30"/>
              </w:numPr>
              <w:spacing w:after="0" w:line="240" w:lineRule="auto"/>
              <w:contextualSpacing/>
              <w:textboxTightWrap w:val="none"/>
            </w:pPr>
            <w:r w:rsidRPr="00C40E89">
              <w:rPr>
                <w:rFonts w:cs="Arial"/>
                <w:color w:val="auto"/>
              </w:rPr>
              <w:t>Practical factors affecting programme delivery, some of which may be known at the start of the scheme but are unable to be mitigated, such as operational demand affecting access, whilst some may be unknown and occur during the project, such as sub-contractor liquidation.  On provider sites, all projects will have some co-dependencies: the more complex the project, the more challenging these can be to manage and can affect the programme timeline.   There is also potential for issues on other parts of the estate to take precedence unexpectedly if patient safety or statutory requirements need to be met.</w:t>
            </w:r>
          </w:p>
          <w:p w14:paraId="1A11ABE9" w14:textId="77777777" w:rsidR="00C40E89" w:rsidRDefault="00C40E89" w:rsidP="00C40E89">
            <w:pPr>
              <w:pStyle w:val="ListParagraph"/>
              <w:spacing w:after="0" w:line="240" w:lineRule="auto"/>
              <w:ind w:left="720" w:firstLine="0"/>
              <w:contextualSpacing/>
              <w:textboxTightWrap w:val="none"/>
            </w:pPr>
          </w:p>
          <w:p w14:paraId="61D3B0A4" w14:textId="1CA6AE15" w:rsidR="00364E2C" w:rsidRPr="0052153A" w:rsidRDefault="00364E2C" w:rsidP="00364E2C">
            <w:pPr>
              <w:pStyle w:val="ListParagraph"/>
              <w:numPr>
                <w:ilvl w:val="0"/>
                <w:numId w:val="30"/>
              </w:numPr>
              <w:spacing w:after="0" w:line="240" w:lineRule="auto"/>
              <w:contextualSpacing/>
              <w:textboxTightWrap w:val="none"/>
              <w:rPr>
                <w:rFonts w:cs="Arial"/>
                <w:color w:val="auto"/>
                <w:sz w:val="22"/>
                <w:szCs w:val="22"/>
              </w:rPr>
            </w:pPr>
            <w:r>
              <w:t>There are</w:t>
            </w:r>
            <w:r w:rsidRPr="00364E2C">
              <w:t xml:space="preserve"> </w:t>
            </w:r>
            <w:r>
              <w:t xml:space="preserve">asset sales </w:t>
            </w:r>
            <w:r w:rsidRPr="00B27550">
              <w:t xml:space="preserve">totalling </w:t>
            </w:r>
            <w:r w:rsidRPr="00B27550">
              <w:rPr>
                <w:color w:val="auto"/>
              </w:rPr>
              <w:t>£</w:t>
            </w:r>
            <w:r w:rsidR="0047462B" w:rsidRPr="00B27550">
              <w:rPr>
                <w:color w:val="auto"/>
              </w:rPr>
              <w:t>3.2</w:t>
            </w:r>
            <w:r w:rsidRPr="00B27550">
              <w:rPr>
                <w:color w:val="auto"/>
              </w:rPr>
              <w:t xml:space="preserve">m </w:t>
            </w:r>
            <w:r>
              <w:t xml:space="preserve">planned for 2025/26, if these do not progress within the financial year, leading to a lower than planned funding level for 2025/26.  In this situation, smaller schemes would be slowed to ensure that the system capital budget remained at breakeven.  A key risk in this area relates to gaining planning approval linked to specific disposals </w:t>
            </w:r>
          </w:p>
          <w:p w14:paraId="112C7B04" w14:textId="77777777" w:rsidR="00364E2C" w:rsidRPr="0052153A" w:rsidRDefault="00364E2C" w:rsidP="00364E2C">
            <w:pPr>
              <w:pStyle w:val="ListParagraph"/>
              <w:spacing w:after="0" w:line="240" w:lineRule="auto"/>
              <w:ind w:left="720" w:firstLine="0"/>
              <w:contextualSpacing/>
              <w:textboxTightWrap w:val="none"/>
              <w:rPr>
                <w:rFonts w:cs="Arial"/>
                <w:color w:val="auto"/>
                <w:sz w:val="22"/>
                <w:szCs w:val="22"/>
              </w:rPr>
            </w:pPr>
          </w:p>
          <w:p w14:paraId="72781075" w14:textId="77777777" w:rsidR="00364E2C" w:rsidRPr="003B27FF" w:rsidRDefault="00364E2C" w:rsidP="00364E2C">
            <w:pPr>
              <w:pStyle w:val="ListParagraph"/>
              <w:numPr>
                <w:ilvl w:val="0"/>
                <w:numId w:val="30"/>
              </w:numPr>
              <w:spacing w:after="0" w:line="240" w:lineRule="auto"/>
              <w:contextualSpacing/>
              <w:textboxTightWrap w:val="none"/>
              <w:rPr>
                <w:rFonts w:cs="Arial"/>
                <w:color w:val="auto"/>
                <w:sz w:val="22"/>
                <w:szCs w:val="22"/>
              </w:rPr>
            </w:pPr>
            <w:r>
              <w:t xml:space="preserve">Rising inflation is a significant risk that could materially change estimated costs in the plan and that the system will no longer be able to afford </w:t>
            </w:r>
            <w:proofErr w:type="gramStart"/>
            <w:r>
              <w:t>all of</w:t>
            </w:r>
            <w:proofErr w:type="gramEnd"/>
            <w:r>
              <w:t xml:space="preserve"> the schemes planned. Contingencies are included in plans to offset </w:t>
            </w:r>
            <w:proofErr w:type="gramStart"/>
            <w:r>
              <w:t>this</w:t>
            </w:r>
            <w:proofErr w:type="gramEnd"/>
            <w:r>
              <w:t xml:space="preserve"> but inflation may exceed these in the current financial climate. If this takes </w:t>
            </w:r>
            <w:proofErr w:type="gramStart"/>
            <w:r>
              <w:t>place</w:t>
            </w:r>
            <w:proofErr w:type="gramEnd"/>
            <w:r>
              <w:t xml:space="preserve"> then schemes will be re prioritised</w:t>
            </w:r>
          </w:p>
          <w:p w14:paraId="031C47B4" w14:textId="77777777" w:rsidR="00364E2C" w:rsidRPr="003B27FF" w:rsidRDefault="00364E2C" w:rsidP="00364E2C">
            <w:pPr>
              <w:pStyle w:val="ListParagraph"/>
              <w:spacing w:after="0" w:line="240" w:lineRule="auto"/>
              <w:ind w:left="720" w:firstLine="0"/>
              <w:contextualSpacing/>
              <w:textboxTightWrap w:val="none"/>
            </w:pPr>
          </w:p>
          <w:p w14:paraId="6EF766C8" w14:textId="77777777" w:rsidR="00364E2C" w:rsidRDefault="00364E2C" w:rsidP="00364E2C">
            <w:pPr>
              <w:pStyle w:val="ListParagraph"/>
              <w:numPr>
                <w:ilvl w:val="0"/>
                <w:numId w:val="30"/>
              </w:numPr>
              <w:spacing w:after="0" w:line="240" w:lineRule="auto"/>
              <w:contextualSpacing/>
              <w:textboxTightWrap w:val="none"/>
            </w:pPr>
            <w:r w:rsidRPr="003B27FF">
              <w:t xml:space="preserve">Lease liabilities can </w:t>
            </w:r>
            <w:r>
              <w:t>vary during the year leading to additional costs.  Systems are in place to manage variation as far as possible, however, if this occurs then the programme will be reassessed to ensure there is no overspend.</w:t>
            </w:r>
          </w:p>
          <w:p w14:paraId="02575A42" w14:textId="77777777" w:rsidR="00364E2C" w:rsidRDefault="00364E2C" w:rsidP="00364E2C">
            <w:pPr>
              <w:pStyle w:val="ListParagraph"/>
              <w:spacing w:after="0" w:line="240" w:lineRule="auto"/>
              <w:ind w:left="720" w:firstLine="0"/>
              <w:contextualSpacing/>
              <w:textboxTightWrap w:val="none"/>
            </w:pPr>
          </w:p>
          <w:p w14:paraId="378C5830" w14:textId="08734A7F" w:rsidR="00364E2C" w:rsidRDefault="00364E2C" w:rsidP="00364E2C">
            <w:pPr>
              <w:pStyle w:val="ListParagraph"/>
              <w:numPr>
                <w:ilvl w:val="0"/>
                <w:numId w:val="30"/>
              </w:numPr>
              <w:spacing w:after="0" w:line="240" w:lineRule="auto"/>
              <w:contextualSpacing/>
              <w:textboxTightWrap w:val="none"/>
            </w:pPr>
            <w:bookmarkStart w:id="4" w:name="_Hlk202443146"/>
            <w:r>
              <w:t xml:space="preserve">Cash: As described above, operational capital is funded through a combination of depreciation and cash. There is a risk that some organisations may not have sufficient cash to support capital investment in 2025/265 due to challenging revenue plan positions. </w:t>
            </w:r>
            <w:r w:rsidR="000B2E1F">
              <w:t>In addition, some of the capital allocations are not cash backed which can lead to deterioration of Trust cash positions</w:t>
            </w:r>
          </w:p>
          <w:p w14:paraId="2F05FB65" w14:textId="77777777" w:rsidR="002B646B" w:rsidRDefault="002B646B" w:rsidP="002B646B">
            <w:pPr>
              <w:pStyle w:val="ListParagraph"/>
              <w:spacing w:after="0" w:line="240" w:lineRule="auto"/>
              <w:ind w:left="720" w:firstLine="0"/>
              <w:contextualSpacing/>
              <w:textboxTightWrap w:val="none"/>
            </w:pPr>
          </w:p>
          <w:p w14:paraId="16394DA6" w14:textId="464F21FD" w:rsidR="002B646B" w:rsidRDefault="002B646B" w:rsidP="00364E2C">
            <w:pPr>
              <w:pStyle w:val="ListParagraph"/>
              <w:numPr>
                <w:ilvl w:val="0"/>
                <w:numId w:val="30"/>
              </w:numPr>
              <w:spacing w:after="0" w:line="240" w:lineRule="auto"/>
              <w:contextualSpacing/>
              <w:textboxTightWrap w:val="none"/>
            </w:pPr>
            <w:bookmarkStart w:id="5" w:name="_Hlk202444564"/>
            <w:r>
              <w:t xml:space="preserve">Digital:  With the changing nature of the digital innovation some investments which may have been funded via capital are now categorised as revenue, this can mean </w:t>
            </w:r>
            <w:r w:rsidR="003E7C43">
              <w:t xml:space="preserve">additional unplanned revenue </w:t>
            </w:r>
            <w:r>
              <w:t xml:space="preserve">pressures or </w:t>
            </w:r>
            <w:r w:rsidR="003E7C43">
              <w:t>changes to capital plans.</w:t>
            </w:r>
          </w:p>
          <w:bookmarkEnd w:id="4"/>
          <w:bookmarkEnd w:id="5"/>
          <w:p w14:paraId="1E1FECE0" w14:textId="77777777" w:rsidR="00364E2C" w:rsidRDefault="00364E2C" w:rsidP="00364E2C">
            <w:pPr>
              <w:pStyle w:val="ListParagraph"/>
              <w:spacing w:after="0" w:line="240" w:lineRule="auto"/>
              <w:ind w:left="720" w:firstLine="0"/>
              <w:contextualSpacing/>
              <w:textboxTightWrap w:val="none"/>
            </w:pPr>
          </w:p>
          <w:p w14:paraId="49CF1322" w14:textId="77777777" w:rsidR="00364E2C" w:rsidRPr="003B27FF" w:rsidRDefault="00364E2C" w:rsidP="00364E2C">
            <w:pPr>
              <w:pStyle w:val="ListParagraph"/>
              <w:numPr>
                <w:ilvl w:val="0"/>
                <w:numId w:val="30"/>
              </w:numPr>
              <w:spacing w:after="0" w:line="240" w:lineRule="auto"/>
              <w:contextualSpacing/>
              <w:textboxTightWrap w:val="none"/>
            </w:pPr>
            <w:r>
              <w:t>Specific Risks There are further specific risks from Trusts which are highlighted on their published risk registers.</w:t>
            </w:r>
          </w:p>
          <w:p w14:paraId="281DDD50" w14:textId="77777777" w:rsidR="00364E2C" w:rsidRPr="003B27FF" w:rsidRDefault="00364E2C" w:rsidP="00364E2C">
            <w:pPr>
              <w:pStyle w:val="ListParagraph"/>
              <w:spacing w:after="0" w:line="240" w:lineRule="auto"/>
              <w:ind w:left="720" w:firstLine="0"/>
              <w:contextualSpacing/>
              <w:textboxTightWrap w:val="none"/>
            </w:pPr>
          </w:p>
          <w:p w14:paraId="36B988BA" w14:textId="45822DFF" w:rsidR="00333DD0" w:rsidRPr="00355691" w:rsidRDefault="00364E2C" w:rsidP="00B83DE4">
            <w:pPr>
              <w:pStyle w:val="ListParagraph"/>
              <w:numPr>
                <w:ilvl w:val="0"/>
                <w:numId w:val="29"/>
              </w:numPr>
              <w:rPr>
                <w:rFonts w:cs="Arial"/>
                <w:color w:val="auto"/>
              </w:rPr>
            </w:pPr>
            <w:r>
              <w:lastRenderedPageBreak/>
              <w:t>Gloucestershire will continue to monitor these risks throughout the year and regular reports are taken to organisational Boards and the System Resources Committee.</w:t>
            </w:r>
          </w:p>
          <w:p w14:paraId="55F5D7A5" w14:textId="325AC62B" w:rsidR="00F33FCC" w:rsidRPr="007A2C46" w:rsidRDefault="00F33FCC" w:rsidP="004D779A">
            <w:pPr>
              <w:pStyle w:val="ListParagraph"/>
              <w:spacing w:after="0" w:line="240" w:lineRule="auto"/>
              <w:ind w:left="720" w:firstLine="0"/>
              <w:contextualSpacing/>
              <w:textboxTightWrap w:val="none"/>
              <w:rPr>
                <w:rFonts w:cs="Arial"/>
                <w:i/>
                <w:iCs/>
                <w:color w:val="auto"/>
                <w:sz w:val="22"/>
                <w:szCs w:val="22"/>
              </w:rPr>
            </w:pPr>
          </w:p>
        </w:tc>
      </w:tr>
    </w:tbl>
    <w:p w14:paraId="523FC9B4" w14:textId="77777777" w:rsidR="008E38E6" w:rsidRPr="007A2C46" w:rsidRDefault="008E38E6" w:rsidP="0055353C">
      <w:pPr>
        <w:rPr>
          <w:rFonts w:cs="Arial"/>
          <w:b/>
          <w:bCs/>
          <w:color w:val="auto"/>
          <w:sz w:val="14"/>
          <w:szCs w:val="14"/>
        </w:rPr>
      </w:pPr>
    </w:p>
    <w:tbl>
      <w:tblPr>
        <w:tblStyle w:val="TableGrid"/>
        <w:tblpPr w:leftFromText="180" w:rightFromText="180" w:vertAnchor="text" w:horzAnchor="margin" w:tblpYSpec="bottom"/>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54"/>
      </w:tblGrid>
      <w:tr w:rsidR="006562C8" w:rsidRPr="007A2C46" w14:paraId="54E82A20" w14:textId="77777777" w:rsidTr="00904AE8">
        <w:trPr>
          <w:trHeight w:val="605"/>
        </w:trPr>
        <w:tc>
          <w:tcPr>
            <w:tcW w:w="9854" w:type="dxa"/>
            <w:shd w:val="clear" w:color="auto" w:fill="0070C0"/>
            <w:vAlign w:val="center"/>
          </w:tcPr>
          <w:p w14:paraId="5FFBAB51" w14:textId="77777777" w:rsidR="006562C8" w:rsidRPr="007A2C46" w:rsidRDefault="006562C8" w:rsidP="006562C8">
            <w:pPr>
              <w:rPr>
                <w:rFonts w:cs="Arial"/>
                <w:b/>
                <w:bCs/>
                <w:color w:val="FFFFFF" w:themeColor="text1"/>
              </w:rPr>
            </w:pPr>
            <w:r w:rsidRPr="007A2C46">
              <w:rPr>
                <w:rFonts w:cs="Arial"/>
                <w:b/>
                <w:bCs/>
                <w:color w:val="FFFFFF" w:themeColor="text1"/>
              </w:rPr>
              <w:t>Capital prioritisation</w:t>
            </w:r>
          </w:p>
        </w:tc>
      </w:tr>
    </w:tbl>
    <w:p w14:paraId="0E488EC8" w14:textId="77777777" w:rsidR="00CA1AA6" w:rsidRPr="007A2C46" w:rsidRDefault="00CA1AA6" w:rsidP="0055353C">
      <w:pPr>
        <w:rPr>
          <w:rFonts w:cs="Arial"/>
          <w:b/>
          <w:bCs/>
          <w:color w:val="auto"/>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DE2C6E" w:rsidRPr="007A2C46" w14:paraId="08F36383" w14:textId="77777777" w:rsidTr="002E7915">
        <w:trPr>
          <w:trHeight w:val="605"/>
        </w:trPr>
        <w:tc>
          <w:tcPr>
            <w:tcW w:w="9355" w:type="dxa"/>
            <w:shd w:val="clear" w:color="auto" w:fill="0070C0"/>
            <w:vAlign w:val="center"/>
          </w:tcPr>
          <w:p w14:paraId="109A426F" w14:textId="48FCDE94" w:rsidR="0055353C" w:rsidRPr="007A2C46" w:rsidRDefault="0055353C" w:rsidP="00B53BA6">
            <w:pPr>
              <w:rPr>
                <w:rFonts w:cs="Arial"/>
                <w:i/>
                <w:iCs/>
                <w:color w:val="FFFFFF" w:themeColor="text1"/>
                <w:sz w:val="18"/>
                <w:szCs w:val="18"/>
              </w:rPr>
            </w:pPr>
            <w:r w:rsidRPr="007A2C46">
              <w:rPr>
                <w:rFonts w:cs="Arial"/>
                <w:b/>
                <w:bCs/>
                <w:color w:val="FFFFFF" w:themeColor="text1"/>
              </w:rPr>
              <w:t>Net</w:t>
            </w:r>
            <w:r w:rsidR="001E52B2" w:rsidRPr="007A2C46">
              <w:rPr>
                <w:rFonts w:cs="Arial"/>
                <w:b/>
                <w:bCs/>
                <w:color w:val="FFFFFF" w:themeColor="text1"/>
              </w:rPr>
              <w:t xml:space="preserve"> </w:t>
            </w:r>
            <w:r w:rsidRPr="007A2C46">
              <w:rPr>
                <w:rFonts w:cs="Arial"/>
                <w:b/>
                <w:bCs/>
                <w:color w:val="FFFFFF" w:themeColor="text1"/>
              </w:rPr>
              <w:t xml:space="preserve">zero </w:t>
            </w:r>
            <w:r w:rsidR="001E52B2" w:rsidRPr="007A2C46">
              <w:rPr>
                <w:rFonts w:cs="Arial"/>
                <w:b/>
                <w:bCs/>
                <w:color w:val="FFFFFF" w:themeColor="text1"/>
              </w:rPr>
              <w:t>c</w:t>
            </w:r>
            <w:r w:rsidRPr="007A2C46">
              <w:rPr>
                <w:rFonts w:cs="Arial"/>
                <w:b/>
                <w:bCs/>
                <w:color w:val="FFFFFF" w:themeColor="text1"/>
              </w:rPr>
              <w:t xml:space="preserve">arbon </w:t>
            </w:r>
            <w:r w:rsidR="001E52B2" w:rsidRPr="007A2C46">
              <w:rPr>
                <w:rFonts w:cs="Arial"/>
                <w:b/>
                <w:bCs/>
                <w:color w:val="FFFFFF" w:themeColor="text1"/>
              </w:rPr>
              <w:t>s</w:t>
            </w:r>
            <w:r w:rsidRPr="007A2C46">
              <w:rPr>
                <w:rFonts w:cs="Arial"/>
                <w:b/>
                <w:bCs/>
                <w:color w:val="FFFFFF" w:themeColor="text1"/>
              </w:rPr>
              <w:t>trategy</w:t>
            </w:r>
          </w:p>
        </w:tc>
      </w:tr>
      <w:tr w:rsidR="00DE2C6E" w:rsidRPr="00DE2C6E" w14:paraId="009C1E30" w14:textId="77777777" w:rsidTr="002E7915">
        <w:trPr>
          <w:trHeight w:val="699"/>
        </w:trPr>
        <w:tc>
          <w:tcPr>
            <w:tcW w:w="9355" w:type="dxa"/>
            <w:shd w:val="clear" w:color="auto" w:fill="auto"/>
          </w:tcPr>
          <w:p w14:paraId="60753D36" w14:textId="77777777" w:rsidR="00364E2C" w:rsidRPr="00305420" w:rsidRDefault="00364E2C" w:rsidP="00364E2C">
            <w:pPr>
              <w:rPr>
                <w:rFonts w:cs="Arial"/>
                <w:color w:val="auto"/>
                <w:sz w:val="22"/>
                <w:szCs w:val="22"/>
              </w:rPr>
            </w:pPr>
            <w:r>
              <w:rPr>
                <w:rFonts w:cs="Arial"/>
                <w:color w:val="auto"/>
                <w:sz w:val="22"/>
                <w:szCs w:val="22"/>
              </w:rPr>
              <w:t xml:space="preserve">The ICS developed a green plan in 2022 and each provider organisation has a more specific green plan to support the overall move to net zero for the NHS.  </w:t>
            </w:r>
            <w:r w:rsidRPr="00305420">
              <w:rPr>
                <w:color w:val="auto"/>
              </w:rPr>
              <w:t>The NHS net zero delivery plan for Estates sets out the approach for decarbonising our hospital buildings</w:t>
            </w:r>
            <w:r>
              <w:rPr>
                <w:color w:val="auto"/>
              </w:rPr>
              <w:t>.</w:t>
            </w:r>
          </w:p>
          <w:p w14:paraId="0CBA1E0E" w14:textId="498D846D" w:rsidR="00364E2C" w:rsidRPr="00364E2C" w:rsidRDefault="00364E2C" w:rsidP="00364E2C">
            <w:pPr>
              <w:pStyle w:val="xmsonormal"/>
              <w:rPr>
                <w:rFonts w:ascii="Arial" w:hAnsi="Arial" w:cs="Arial"/>
                <w:i/>
                <w:iCs/>
                <w:color w:val="FF0000"/>
                <w:sz w:val="24"/>
                <w:szCs w:val="24"/>
                <w:u w:val="single"/>
              </w:rPr>
            </w:pPr>
            <w:r w:rsidRPr="00045677">
              <w:rPr>
                <w:rFonts w:ascii="Arial" w:hAnsi="Arial" w:cs="Arial"/>
                <w:sz w:val="24"/>
                <w:szCs w:val="24"/>
                <w:u w:val="single"/>
              </w:rPr>
              <w:t>GHC</w:t>
            </w:r>
            <w:r>
              <w:rPr>
                <w:rFonts w:ascii="Arial" w:hAnsi="Arial" w:cs="Arial"/>
                <w:sz w:val="24"/>
                <w:szCs w:val="24"/>
                <w:u w:val="single"/>
              </w:rPr>
              <w:t xml:space="preserve"> </w:t>
            </w:r>
          </w:p>
          <w:p w14:paraId="5CADC140" w14:textId="77777777" w:rsidR="00B45285" w:rsidRPr="00904AE8" w:rsidRDefault="00B45285" w:rsidP="00B45285">
            <w:pPr>
              <w:pStyle w:val="xmsonormal"/>
              <w:rPr>
                <w:rFonts w:ascii="Arial" w:hAnsi="Arial" w:cs="Arial"/>
                <w:sz w:val="24"/>
                <w:szCs w:val="24"/>
              </w:rPr>
            </w:pPr>
            <w:r w:rsidRPr="00904AE8">
              <w:rPr>
                <w:rFonts w:ascii="Arial" w:hAnsi="Arial" w:cs="Arial"/>
                <w:sz w:val="24"/>
                <w:szCs w:val="24"/>
              </w:rPr>
              <w:t xml:space="preserve">Existing hospital buildings will be decarbonised through the implementation of </w:t>
            </w:r>
            <w:proofErr w:type="gramStart"/>
            <w:r w:rsidRPr="00904AE8">
              <w:rPr>
                <w:rFonts w:ascii="Arial" w:hAnsi="Arial" w:cs="Arial"/>
                <w:sz w:val="24"/>
                <w:szCs w:val="24"/>
              </w:rPr>
              <w:t>retro-fit</w:t>
            </w:r>
            <w:proofErr w:type="gramEnd"/>
            <w:r w:rsidRPr="00904AE8">
              <w:rPr>
                <w:rFonts w:ascii="Arial" w:hAnsi="Arial" w:cs="Arial"/>
                <w:sz w:val="24"/>
                <w:szCs w:val="24"/>
              </w:rPr>
              <w:t xml:space="preserve"> projects </w:t>
            </w:r>
            <w:proofErr w:type="gramStart"/>
            <w:r w:rsidRPr="00904AE8">
              <w:rPr>
                <w:rFonts w:ascii="Arial" w:hAnsi="Arial" w:cs="Arial"/>
                <w:sz w:val="24"/>
                <w:szCs w:val="24"/>
              </w:rPr>
              <w:t>in order to</w:t>
            </w:r>
            <w:proofErr w:type="gramEnd"/>
            <w:r w:rsidRPr="00904AE8">
              <w:rPr>
                <w:rFonts w:ascii="Arial" w:hAnsi="Arial" w:cs="Arial"/>
                <w:sz w:val="24"/>
                <w:szCs w:val="24"/>
              </w:rPr>
              <w:t xml:space="preserve"> reduce energy demand and carbon emissions. Retro-fit projects within Gloucestershire Health &amp; Care NHSFT have included LED lighting upgrades which are 69% more energy efficient and installing roof mounted solar-</w:t>
            </w:r>
            <w:proofErr w:type="spellStart"/>
            <w:r w:rsidRPr="00904AE8">
              <w:rPr>
                <w:rFonts w:ascii="Arial" w:hAnsi="Arial" w:cs="Arial"/>
                <w:sz w:val="24"/>
                <w:szCs w:val="24"/>
              </w:rPr>
              <w:t>pv</w:t>
            </w:r>
            <w:proofErr w:type="spellEnd"/>
            <w:r w:rsidRPr="00904AE8">
              <w:rPr>
                <w:rFonts w:ascii="Arial" w:hAnsi="Arial" w:cs="Arial"/>
                <w:sz w:val="24"/>
                <w:szCs w:val="24"/>
              </w:rPr>
              <w:t xml:space="preserve"> to provide between 21-25% self-generation of power to the hospital campus. The next phase of the decarbonisation plan will be making the gas boilers at </w:t>
            </w:r>
            <w:proofErr w:type="gramStart"/>
            <w:r w:rsidRPr="00904AE8">
              <w:rPr>
                <w:rFonts w:ascii="Arial" w:hAnsi="Arial" w:cs="Arial"/>
                <w:sz w:val="24"/>
                <w:szCs w:val="24"/>
              </w:rPr>
              <w:t>Charlton lane</w:t>
            </w:r>
            <w:proofErr w:type="gramEnd"/>
            <w:r w:rsidRPr="00904AE8">
              <w:rPr>
                <w:rFonts w:ascii="Arial" w:hAnsi="Arial" w:cs="Arial"/>
                <w:sz w:val="24"/>
                <w:szCs w:val="24"/>
              </w:rPr>
              <w:t xml:space="preserve"> </w:t>
            </w:r>
            <w:proofErr w:type="gramStart"/>
            <w:r w:rsidRPr="00904AE8">
              <w:rPr>
                <w:rFonts w:ascii="Arial" w:hAnsi="Arial" w:cs="Arial"/>
                <w:sz w:val="24"/>
                <w:szCs w:val="24"/>
              </w:rPr>
              <w:t>redundant, and</w:t>
            </w:r>
            <w:proofErr w:type="gramEnd"/>
            <w:r w:rsidRPr="00904AE8">
              <w:rPr>
                <w:rFonts w:ascii="Arial" w:hAnsi="Arial" w:cs="Arial"/>
                <w:sz w:val="24"/>
                <w:szCs w:val="24"/>
              </w:rPr>
              <w:t xml:space="preserve"> installing new air-source heat pumps which will be powered by renewable energy from the grid. At Charlton Lane, the proposed switch from the gas boiler to a Heat Pump for the central heating will save a predicted 86.6 tonnes CO2 per annum. representing </w:t>
            </w:r>
            <w:proofErr w:type="gramStart"/>
            <w:r w:rsidRPr="00904AE8">
              <w:rPr>
                <w:rFonts w:ascii="Arial" w:hAnsi="Arial" w:cs="Arial"/>
                <w:sz w:val="24"/>
                <w:szCs w:val="24"/>
              </w:rPr>
              <w:t>a</w:t>
            </w:r>
            <w:proofErr w:type="gramEnd"/>
            <w:r w:rsidRPr="00904AE8">
              <w:rPr>
                <w:rFonts w:ascii="Arial" w:hAnsi="Arial" w:cs="Arial"/>
                <w:sz w:val="24"/>
                <w:szCs w:val="24"/>
              </w:rPr>
              <w:t xml:space="preserve"> 81.5% improvement compared to the existing emissions.  </w:t>
            </w:r>
          </w:p>
          <w:p w14:paraId="10DB9EBA" w14:textId="77777777" w:rsidR="00B45285" w:rsidRPr="00904AE8" w:rsidRDefault="00B45285" w:rsidP="00B45285">
            <w:pPr>
              <w:pStyle w:val="xmsonormal"/>
              <w:rPr>
                <w:rFonts w:ascii="Arial" w:hAnsi="Arial" w:cs="Arial"/>
                <w:sz w:val="24"/>
                <w:szCs w:val="24"/>
              </w:rPr>
            </w:pPr>
            <w:r w:rsidRPr="00904AE8">
              <w:rPr>
                <w:rFonts w:ascii="Arial" w:hAnsi="Arial" w:cs="Arial"/>
                <w:sz w:val="24"/>
                <w:szCs w:val="24"/>
              </w:rPr>
              <w:t> </w:t>
            </w:r>
          </w:p>
          <w:p w14:paraId="5464FD51" w14:textId="77777777" w:rsidR="00B45285" w:rsidRPr="00904AE8" w:rsidRDefault="00B45285" w:rsidP="00B45285">
            <w:pPr>
              <w:pStyle w:val="xmsonormal"/>
              <w:rPr>
                <w:rFonts w:ascii="Arial" w:hAnsi="Arial" w:cs="Arial"/>
                <w:sz w:val="24"/>
                <w:szCs w:val="24"/>
              </w:rPr>
            </w:pPr>
            <w:r w:rsidRPr="00904AE8">
              <w:rPr>
                <w:rFonts w:ascii="Arial" w:hAnsi="Arial" w:cs="Arial"/>
                <w:sz w:val="24"/>
                <w:szCs w:val="24"/>
              </w:rPr>
              <w:t xml:space="preserve">The estates and sustainability team have applied to the Public Sector Decarbonisation Scheme (Phase 4) to install air source heat pumps at 6 community hospitals, and this includes the scoping of net zero schemes for 2024-25 such as roof mounted solar PV in </w:t>
            </w:r>
            <w:proofErr w:type="gramStart"/>
            <w:r w:rsidRPr="00904AE8">
              <w:rPr>
                <w:rFonts w:ascii="Arial" w:hAnsi="Arial" w:cs="Arial"/>
                <w:sz w:val="24"/>
                <w:szCs w:val="24"/>
              </w:rPr>
              <w:t>a number of</w:t>
            </w:r>
            <w:proofErr w:type="gramEnd"/>
            <w:r w:rsidRPr="00904AE8">
              <w:rPr>
                <w:rFonts w:ascii="Arial" w:hAnsi="Arial" w:cs="Arial"/>
                <w:sz w:val="24"/>
                <w:szCs w:val="24"/>
              </w:rPr>
              <w:t xml:space="preserve"> community hospitals. The application was submitted in November 2024 and successful Trusts will be awarded funding and receive a grant offer letter in May 2025. </w:t>
            </w:r>
          </w:p>
          <w:p w14:paraId="4156EBA9" w14:textId="77777777" w:rsidR="00B45285" w:rsidRPr="00904AE8" w:rsidRDefault="00B45285" w:rsidP="00B45285">
            <w:pPr>
              <w:pStyle w:val="xmsonormal"/>
              <w:rPr>
                <w:rFonts w:ascii="Aptos" w:hAnsi="Aptos" w:cs="Times New Roman"/>
                <w:sz w:val="24"/>
                <w:szCs w:val="24"/>
              </w:rPr>
            </w:pPr>
          </w:p>
          <w:p w14:paraId="3E9B8710" w14:textId="77777777" w:rsidR="00B45285" w:rsidRPr="00904AE8" w:rsidRDefault="00B45285" w:rsidP="00B45285">
            <w:pPr>
              <w:pStyle w:val="xmsonormal"/>
              <w:rPr>
                <w:rFonts w:ascii="Arial" w:hAnsi="Arial" w:cs="Arial"/>
                <w:sz w:val="24"/>
                <w:szCs w:val="24"/>
              </w:rPr>
            </w:pPr>
            <w:r w:rsidRPr="00904AE8">
              <w:rPr>
                <w:rFonts w:ascii="Arial" w:hAnsi="Arial" w:cs="Arial"/>
                <w:sz w:val="24"/>
                <w:szCs w:val="24"/>
              </w:rPr>
              <w:t>The backlog maintenance programme has identified three outpatient centres that will have lighting upgraded to LED, there will be a continuation on LED upgrades throughout the Trust to improve energy efficiency and the condition of lighting systems, it’s a Green Plan requirement that 100% of NHS buildings are upgraded to LED by 2032.</w:t>
            </w:r>
          </w:p>
          <w:p w14:paraId="6F995464" w14:textId="77777777" w:rsidR="00B45285" w:rsidRPr="00904AE8" w:rsidRDefault="00B45285" w:rsidP="00B45285">
            <w:pPr>
              <w:pStyle w:val="xmsonormal"/>
              <w:rPr>
                <w:rFonts w:ascii="Arial" w:hAnsi="Arial" w:cs="Arial"/>
                <w:sz w:val="24"/>
                <w:szCs w:val="24"/>
              </w:rPr>
            </w:pPr>
          </w:p>
          <w:p w14:paraId="24315CEE" w14:textId="68476986" w:rsidR="00364E2C" w:rsidRPr="00904AE8" w:rsidRDefault="00B45285" w:rsidP="00B45285">
            <w:pPr>
              <w:pStyle w:val="ListParagraph"/>
              <w:spacing w:after="0" w:line="0" w:lineRule="atLeast"/>
              <w:ind w:firstLine="0"/>
              <w:jc w:val="both"/>
              <w:rPr>
                <w:rFonts w:cs="Arial"/>
                <w:color w:val="auto"/>
              </w:rPr>
            </w:pPr>
            <w:r w:rsidRPr="00904AE8">
              <w:rPr>
                <w:rFonts w:cs="Arial"/>
                <w:color w:val="auto"/>
              </w:rPr>
              <w:t>An application and EOI was submitted in January 2025 to the NHS Energy Efficiency Fund (NEEF) to install an additional 21 dual socket EV charging points across the GHC portfolio. This application was successful, and the estates team are now preparing to undertake the installations during the capital year of 2025 and 2026.</w:t>
            </w:r>
          </w:p>
          <w:p w14:paraId="29EC743B" w14:textId="77777777" w:rsidR="00B45285" w:rsidRPr="00904AE8" w:rsidRDefault="00B45285" w:rsidP="00B45285">
            <w:pPr>
              <w:pStyle w:val="ListParagraph"/>
              <w:spacing w:after="0" w:line="0" w:lineRule="atLeast"/>
              <w:ind w:firstLine="0"/>
              <w:jc w:val="both"/>
              <w:rPr>
                <w:rFonts w:ascii="Segoe UI" w:hAnsi="Segoe UI" w:cs="Segoe UI"/>
                <w:color w:val="auto"/>
              </w:rPr>
            </w:pPr>
          </w:p>
          <w:p w14:paraId="14C6EAD5" w14:textId="0B3F7B8D" w:rsidR="00364E2C" w:rsidRPr="00904AE8" w:rsidRDefault="00364E2C" w:rsidP="00364E2C">
            <w:pPr>
              <w:pStyle w:val="ListParagraph"/>
              <w:spacing w:after="0" w:line="0" w:lineRule="atLeast"/>
              <w:ind w:firstLine="0"/>
              <w:jc w:val="both"/>
              <w:rPr>
                <w:rFonts w:cs="Arial"/>
                <w:color w:val="auto"/>
                <w:u w:val="single"/>
              </w:rPr>
            </w:pPr>
            <w:r w:rsidRPr="00904AE8">
              <w:rPr>
                <w:rFonts w:cs="Arial"/>
                <w:color w:val="auto"/>
                <w:u w:val="single"/>
              </w:rPr>
              <w:t>GHFT para from GHFT to replace</w:t>
            </w:r>
          </w:p>
          <w:p w14:paraId="10135312" w14:textId="2E2BB516" w:rsidR="00364E2C" w:rsidRPr="00904AE8" w:rsidRDefault="00364E2C" w:rsidP="00364E2C">
            <w:pPr>
              <w:rPr>
                <w:color w:val="auto"/>
              </w:rPr>
            </w:pPr>
            <w:r w:rsidRPr="00904AE8">
              <w:rPr>
                <w:rFonts w:cs="Arial"/>
                <w:color w:val="auto"/>
              </w:rPr>
              <w:t xml:space="preserve">The Trust’s current focus around delivering a net zero NHS is to complete the final phases of the Salix programme of works. The works within this programme include a </w:t>
            </w:r>
            <w:r w:rsidRPr="00904AE8">
              <w:rPr>
                <w:rFonts w:cs="Arial"/>
                <w:color w:val="auto"/>
              </w:rPr>
              <w:lastRenderedPageBreak/>
              <w:t xml:space="preserve">new insulated façade for the Tower Block, replacement of all Tower Block windows, ward level heating zone controls, replacement and insulation of the catering building roof and a new air source heat pump to serve the Pathology building.  </w:t>
            </w:r>
          </w:p>
          <w:p w14:paraId="366931C1" w14:textId="77777777" w:rsidR="00D27FFB" w:rsidRPr="00FD6749" w:rsidRDefault="00D27FFB" w:rsidP="00D27FFB">
            <w:pPr>
              <w:rPr>
                <w:rFonts w:cs="Arial"/>
                <w:color w:val="auto"/>
                <w:sz w:val="22"/>
                <w:szCs w:val="22"/>
              </w:rPr>
            </w:pPr>
            <w:r w:rsidRPr="00FD6749">
              <w:rPr>
                <w:rFonts w:cs="Arial"/>
                <w:color w:val="auto"/>
                <w:sz w:val="22"/>
                <w:szCs w:val="22"/>
                <w:u w:val="single"/>
              </w:rPr>
              <w:t>Abbreviations used within this document</w:t>
            </w:r>
            <w:r w:rsidRPr="00FD6749">
              <w:rPr>
                <w:rFonts w:cs="Arial"/>
                <w:color w:val="auto"/>
                <w:sz w:val="22"/>
                <w:szCs w:val="22"/>
              </w:rPr>
              <w:t>:</w:t>
            </w:r>
          </w:p>
          <w:p w14:paraId="7CA67B0C" w14:textId="77777777" w:rsidR="00D27FFB" w:rsidRPr="00FD6749" w:rsidRDefault="00D27FFB" w:rsidP="00D27FFB">
            <w:pPr>
              <w:rPr>
                <w:rFonts w:cs="Arial"/>
                <w:color w:val="auto"/>
                <w:sz w:val="22"/>
                <w:szCs w:val="22"/>
              </w:rPr>
            </w:pPr>
            <w:r w:rsidRPr="00FD6749">
              <w:rPr>
                <w:rFonts w:cs="Arial"/>
                <w:color w:val="auto"/>
                <w:sz w:val="22"/>
                <w:szCs w:val="22"/>
              </w:rPr>
              <w:t>Gloucestershire Hospitals NHSFT: GHFT</w:t>
            </w:r>
          </w:p>
          <w:p w14:paraId="19CB7592" w14:textId="77777777" w:rsidR="00D27FFB" w:rsidRPr="00FD6749" w:rsidRDefault="00D27FFB" w:rsidP="00D27FFB">
            <w:pPr>
              <w:rPr>
                <w:rFonts w:cs="Arial"/>
                <w:color w:val="auto"/>
                <w:sz w:val="22"/>
                <w:szCs w:val="22"/>
              </w:rPr>
            </w:pPr>
            <w:r w:rsidRPr="00FD6749">
              <w:rPr>
                <w:rFonts w:cs="Arial"/>
                <w:color w:val="auto"/>
                <w:sz w:val="22"/>
                <w:szCs w:val="22"/>
              </w:rPr>
              <w:t>Gloucestershire Health &amp; Care NHSFT: GHC</w:t>
            </w:r>
          </w:p>
          <w:p w14:paraId="2D6A1F68" w14:textId="77777777" w:rsidR="00D27FFB" w:rsidRPr="00FD6749" w:rsidRDefault="00D27FFB" w:rsidP="00D27FFB">
            <w:pPr>
              <w:rPr>
                <w:rFonts w:cs="Arial"/>
                <w:color w:val="auto"/>
                <w:sz w:val="22"/>
                <w:szCs w:val="22"/>
              </w:rPr>
            </w:pPr>
            <w:r w:rsidRPr="00FD6749">
              <w:rPr>
                <w:rFonts w:cs="Arial"/>
                <w:color w:val="auto"/>
                <w:sz w:val="22"/>
                <w:szCs w:val="22"/>
              </w:rPr>
              <w:t>Gloucestershire Integrated Care Board: GICB</w:t>
            </w:r>
          </w:p>
          <w:p w14:paraId="5B43A98D" w14:textId="77777777" w:rsidR="00D27FFB" w:rsidRPr="00FD6749" w:rsidRDefault="00D27FFB" w:rsidP="00D27FFB">
            <w:pPr>
              <w:rPr>
                <w:rFonts w:cs="Arial"/>
                <w:color w:val="auto"/>
                <w:sz w:val="22"/>
                <w:szCs w:val="22"/>
              </w:rPr>
            </w:pPr>
            <w:r w:rsidRPr="00FD6749">
              <w:rPr>
                <w:rFonts w:cs="Arial"/>
                <w:color w:val="auto"/>
                <w:sz w:val="22"/>
                <w:szCs w:val="22"/>
              </w:rPr>
              <w:t>Gloucestershire County Council: GCC</w:t>
            </w:r>
          </w:p>
          <w:p w14:paraId="318780E9" w14:textId="77777777" w:rsidR="00CA1AA6" w:rsidRDefault="00CA1AA6" w:rsidP="00D27FFB">
            <w:pPr>
              <w:spacing w:after="0" w:line="240" w:lineRule="auto"/>
              <w:contextualSpacing/>
              <w:textboxTightWrap w:val="none"/>
              <w:rPr>
                <w:rFonts w:cs="Arial"/>
                <w:color w:val="auto"/>
                <w:sz w:val="22"/>
                <w:szCs w:val="22"/>
              </w:rPr>
            </w:pPr>
          </w:p>
          <w:p w14:paraId="3B71321C" w14:textId="77777777" w:rsidR="00D27FFB" w:rsidRPr="00D27FFB" w:rsidRDefault="00D27FFB" w:rsidP="00D27FFB">
            <w:pPr>
              <w:spacing w:after="0" w:line="240" w:lineRule="auto"/>
              <w:contextualSpacing/>
              <w:textboxTightWrap w:val="none"/>
              <w:rPr>
                <w:rFonts w:cs="Arial"/>
                <w:color w:val="auto"/>
                <w:sz w:val="22"/>
                <w:szCs w:val="22"/>
              </w:rPr>
            </w:pPr>
          </w:p>
        </w:tc>
      </w:tr>
    </w:tbl>
    <w:p w14:paraId="33FCAA77" w14:textId="77777777" w:rsidR="0055353C" w:rsidRPr="00DE2C6E" w:rsidRDefault="0055353C" w:rsidP="00842ACE">
      <w:pPr>
        <w:rPr>
          <w:color w:val="auto"/>
        </w:rPr>
      </w:pPr>
    </w:p>
    <w:sectPr w:rsidR="0055353C" w:rsidRPr="00DE2C6E" w:rsidSect="000055C4">
      <w:headerReference w:type="first" r:id="rId18"/>
      <w:footerReference w:type="first" r:id="rId19"/>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18DFA" w14:textId="77777777" w:rsidR="00CE52B1" w:rsidRDefault="00CE52B1" w:rsidP="000C24AF">
      <w:pPr>
        <w:spacing w:after="0"/>
      </w:pPr>
      <w:r>
        <w:separator/>
      </w:r>
    </w:p>
  </w:endnote>
  <w:endnote w:type="continuationSeparator" w:id="0">
    <w:p w14:paraId="398EB937" w14:textId="77777777" w:rsidR="00CE52B1" w:rsidRDefault="00CE52B1" w:rsidP="000C24AF">
      <w:pPr>
        <w:spacing w:after="0"/>
      </w:pPr>
      <w:r>
        <w:continuationSeparator/>
      </w:r>
    </w:p>
  </w:endnote>
  <w:endnote w:type="continuationNotice" w:id="1">
    <w:p w14:paraId="285737CF" w14:textId="77777777" w:rsidR="00CE52B1" w:rsidRDefault="00CE5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16E97CD0" w14:textId="77777777" w:rsidR="00603A2C" w:rsidRDefault="00603A2C" w:rsidP="00603A2C">
        <w:pPr>
          <w:pStyle w:val="Footer"/>
          <w:pBdr>
            <w:top w:val="single" w:sz="4" w:space="1" w:color="005EB8"/>
          </w:pBdr>
        </w:pPr>
      </w:p>
      <w:p w14:paraId="1665EE43"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63E94" w14:textId="77777777" w:rsidR="00CE52B1" w:rsidRDefault="00CE52B1" w:rsidP="000C24AF">
      <w:pPr>
        <w:spacing w:after="0"/>
      </w:pPr>
      <w:r>
        <w:separator/>
      </w:r>
    </w:p>
  </w:footnote>
  <w:footnote w:type="continuationSeparator" w:id="0">
    <w:p w14:paraId="627ACDB7" w14:textId="77777777" w:rsidR="00CE52B1" w:rsidRDefault="00CE52B1" w:rsidP="000C24AF">
      <w:pPr>
        <w:spacing w:after="0"/>
      </w:pPr>
      <w:r>
        <w:continuationSeparator/>
      </w:r>
    </w:p>
  </w:footnote>
  <w:footnote w:type="continuationNotice" w:id="1">
    <w:p w14:paraId="66A267C1" w14:textId="77777777" w:rsidR="00CE52B1" w:rsidRDefault="00CE52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8A3B"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24C40DF" wp14:editId="02618D1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21911011" name="Picture 1721911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973F955" w14:textId="1B9C4DBB" w:rsidR="00F126B3" w:rsidRPr="009F3A1D" w:rsidRDefault="00E73686" w:rsidP="00F126B3">
    <w:pPr>
      <w:pStyle w:val="Header"/>
      <w:pBdr>
        <w:bottom w:val="single" w:sz="4" w:space="4" w:color="auto"/>
      </w:pBdr>
      <w:rPr>
        <w:sz w:val="24"/>
      </w:rPr>
    </w:pPr>
    <w:sdt>
      <w:sdtPr>
        <w:alias w:val="Title"/>
        <w:tag w:val="title"/>
        <w:id w:val="-644359137"/>
        <w:placeholder>
          <w:docPart w:val="9981FB31D47A449D8762B966F18ED5C9"/>
        </w:placeholder>
        <w:dataBinding w:prefixMappings="xmlns:ns0='http://purl.org/dc/elements/1.1/' xmlns:ns1='http://schemas.openxmlformats.org/package/2006/metadata/core-properties' " w:xpath="/ns1:coreProperties[1]/ns0:title[1]" w:storeItemID="{6C3C8BC8-F283-45AE-878A-BAB7291924A1}"/>
        <w:text/>
      </w:sdtPr>
      <w:sdtEndPr/>
      <w:sdtContent>
        <w:r w:rsidR="00F21FE6">
          <w:t>Guidance on developing joint capital resource use plans 2025/26</w:t>
        </w:r>
      </w:sdtContent>
    </w:sdt>
  </w:p>
  <w:p w14:paraId="7131347A"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150"/>
    <w:multiLevelType w:val="hybridMultilevel"/>
    <w:tmpl w:val="DBA4B8D6"/>
    <w:lvl w:ilvl="0" w:tplc="3F3440D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234"/>
    <w:multiLevelType w:val="hybridMultilevel"/>
    <w:tmpl w:val="9364F632"/>
    <w:lvl w:ilvl="0" w:tplc="6504C6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86072"/>
    <w:multiLevelType w:val="hybridMultilevel"/>
    <w:tmpl w:val="9650E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1163A"/>
    <w:multiLevelType w:val="hybridMultilevel"/>
    <w:tmpl w:val="E370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D0782"/>
    <w:multiLevelType w:val="hybridMultilevel"/>
    <w:tmpl w:val="AECC6EAC"/>
    <w:lvl w:ilvl="0" w:tplc="4E383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82E06"/>
    <w:multiLevelType w:val="multilevel"/>
    <w:tmpl w:val="A3021E3C"/>
    <w:name w:val="nhs_bullets"/>
    <w:styleLink w:val="NHSBullets"/>
    <w:lvl w:ilvl="0">
      <w:start w:val="1"/>
      <w:numFmt w:val="bullet"/>
      <w:pStyle w:val="ListBullet"/>
      <w:lvlText w:val=""/>
      <w:lvlJc w:val="left"/>
      <w:pPr>
        <w:tabs>
          <w:tab w:val="num" w:pos="2007"/>
        </w:tabs>
        <w:ind w:left="2291" w:hanging="284"/>
      </w:pPr>
      <w:rPr>
        <w:rFonts w:ascii="Symbol" w:hAnsi="Symbol" w:hint="default"/>
        <w:color w:val="005EB8"/>
      </w:rPr>
    </w:lvl>
    <w:lvl w:ilvl="1">
      <w:start w:val="1"/>
      <w:numFmt w:val="bullet"/>
      <w:pStyle w:val="ListBullet2"/>
      <w:lvlText w:val="‒"/>
      <w:lvlJc w:val="left"/>
      <w:pPr>
        <w:tabs>
          <w:tab w:val="num" w:pos="2574"/>
        </w:tabs>
        <w:ind w:left="2574" w:hanging="283"/>
      </w:pPr>
      <w:rPr>
        <w:rFonts w:ascii="Arial" w:hAnsi="Arial" w:hint="default"/>
        <w:color w:val="005EB8"/>
      </w:rPr>
    </w:lvl>
    <w:lvl w:ilvl="2">
      <w:start w:val="1"/>
      <w:numFmt w:val="bullet"/>
      <w:pStyle w:val="ListBullet3"/>
      <w:lvlText w:val=""/>
      <w:lvlJc w:val="left"/>
      <w:pPr>
        <w:tabs>
          <w:tab w:val="num" w:pos="2512"/>
        </w:tabs>
        <w:ind w:left="2483" w:hanging="329"/>
      </w:pPr>
      <w:rPr>
        <w:rFonts w:ascii="Symbol" w:hAnsi="Symbol" w:hint="default"/>
        <w:color w:val="auto"/>
      </w:rPr>
    </w:lvl>
    <w:lvl w:ilvl="3">
      <w:start w:val="1"/>
      <w:numFmt w:val="bullet"/>
      <w:pStyle w:val="ListBullet4"/>
      <w:lvlText w:val=""/>
      <w:lvlJc w:val="left"/>
      <w:pPr>
        <w:tabs>
          <w:tab w:val="num" w:pos="2869"/>
        </w:tabs>
        <w:ind w:left="2869" w:hanging="357"/>
      </w:pPr>
      <w:rPr>
        <w:rFonts w:ascii="Symbol" w:hAnsi="Symbol" w:hint="default"/>
        <w:color w:val="auto"/>
      </w:rPr>
    </w:lvl>
    <w:lvl w:ilvl="4">
      <w:start w:val="1"/>
      <w:numFmt w:val="bullet"/>
      <w:pStyle w:val="ListBullet5"/>
      <w:lvlText w:val=""/>
      <w:lvlJc w:val="left"/>
      <w:pPr>
        <w:tabs>
          <w:tab w:val="num" w:pos="3226"/>
        </w:tabs>
        <w:ind w:left="3226" w:hanging="357"/>
      </w:pPr>
      <w:rPr>
        <w:rFonts w:ascii="Symbol" w:hAnsi="Symbol" w:hint="default"/>
        <w:color w:val="auto"/>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 w15:restartNumberingAfterBreak="0">
    <w:nsid w:val="14BF101B"/>
    <w:multiLevelType w:val="hybridMultilevel"/>
    <w:tmpl w:val="A330E500"/>
    <w:lvl w:ilvl="0" w:tplc="ED8C93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E79D6"/>
    <w:multiLevelType w:val="hybridMultilevel"/>
    <w:tmpl w:val="D3340A34"/>
    <w:lvl w:ilvl="0" w:tplc="4CB4F9BA">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D64E92"/>
    <w:multiLevelType w:val="hybridMultilevel"/>
    <w:tmpl w:val="4EFCB010"/>
    <w:lvl w:ilvl="0" w:tplc="E924A0A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633B33"/>
    <w:multiLevelType w:val="hybridMultilevel"/>
    <w:tmpl w:val="BB60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0319A"/>
    <w:multiLevelType w:val="hybridMultilevel"/>
    <w:tmpl w:val="DF2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B3AA2"/>
    <w:multiLevelType w:val="hybridMultilevel"/>
    <w:tmpl w:val="19A89058"/>
    <w:lvl w:ilvl="0" w:tplc="C57A5A66">
      <w:start w:val="1"/>
      <w:numFmt w:val="decimal"/>
      <w:lvlText w:val="%1."/>
      <w:lvlJc w:val="left"/>
      <w:pPr>
        <w:ind w:left="360" w:hanging="360"/>
      </w:pPr>
      <w:rPr>
        <w:rFonts w:hint="default"/>
      </w:rPr>
    </w:lvl>
    <w:lvl w:ilvl="1" w:tplc="0FBE3DD4">
      <w:numFmt w:val="bullet"/>
      <w:lvlText w:val="•"/>
      <w:lvlJc w:val="left"/>
      <w:pPr>
        <w:ind w:left="1080" w:hanging="360"/>
      </w:pPr>
      <w:rPr>
        <w:rFonts w:ascii="Arial" w:eastAsia="Times New Roman" w:hAnsi="Arial" w:cs="Arial" w:hint="default"/>
        <w:color w:val="005EB9"/>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577A2"/>
    <w:multiLevelType w:val="multilevel"/>
    <w:tmpl w:val="91DC1B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54504E"/>
    <w:multiLevelType w:val="hybridMultilevel"/>
    <w:tmpl w:val="22E0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F4CF5"/>
    <w:multiLevelType w:val="hybridMultilevel"/>
    <w:tmpl w:val="5076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229EC"/>
    <w:multiLevelType w:val="hybridMultilevel"/>
    <w:tmpl w:val="8D6AC302"/>
    <w:lvl w:ilvl="0" w:tplc="3F3440D0">
      <w:start w:val="2"/>
      <w:numFmt w:val="bullet"/>
      <w:lvlText w:val="-"/>
      <w:lvlJc w:val="left"/>
      <w:pPr>
        <w:ind w:left="783" w:hanging="360"/>
      </w:pPr>
      <w:rPr>
        <w:rFonts w:ascii="Arial" w:eastAsiaTheme="minorHAnsi" w:hAnsi="Aria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396648F1"/>
    <w:multiLevelType w:val="hybridMultilevel"/>
    <w:tmpl w:val="811C6CA6"/>
    <w:lvl w:ilvl="0" w:tplc="FFFFFFFF">
      <w:start w:val="1"/>
      <w:numFmt w:val="bullet"/>
      <w:lvlText w:val=""/>
      <w:lvlJc w:val="left"/>
      <w:pPr>
        <w:ind w:left="720" w:hanging="360"/>
      </w:pPr>
      <w:rPr>
        <w:rFonts w:ascii="Symbol" w:hAnsi="Symbol" w:hint="default"/>
      </w:rPr>
    </w:lvl>
    <w:lvl w:ilvl="1" w:tplc="FDA8DA72">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293774"/>
    <w:multiLevelType w:val="hybridMultilevel"/>
    <w:tmpl w:val="1256B3B2"/>
    <w:lvl w:ilvl="0" w:tplc="4CB4F9B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57F36"/>
    <w:multiLevelType w:val="hybridMultilevel"/>
    <w:tmpl w:val="0F72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23D"/>
    <w:multiLevelType w:val="hybridMultilevel"/>
    <w:tmpl w:val="F8883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4094E"/>
    <w:multiLevelType w:val="hybridMultilevel"/>
    <w:tmpl w:val="E46A52B4"/>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eastAsia="Times New Roman" w:hAnsi="Arial" w:cs="Arial" w:hint="default"/>
        <w:color w:val="005EB9"/>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13C38E5"/>
    <w:multiLevelType w:val="hybridMultilevel"/>
    <w:tmpl w:val="C0C8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26563"/>
    <w:multiLevelType w:val="hybridMultilevel"/>
    <w:tmpl w:val="8A8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A1444"/>
    <w:multiLevelType w:val="hybridMultilevel"/>
    <w:tmpl w:val="4C0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7543C"/>
    <w:multiLevelType w:val="hybridMultilevel"/>
    <w:tmpl w:val="B40A9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4163B6"/>
    <w:multiLevelType w:val="multilevel"/>
    <w:tmpl w:val="F1EEC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837426"/>
    <w:multiLevelType w:val="hybridMultilevel"/>
    <w:tmpl w:val="52307748"/>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eastAsia="Times New Roman" w:hAnsi="Arial" w:cs="Arial" w:hint="default"/>
        <w:color w:val="005EB9"/>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D997C19"/>
    <w:multiLevelType w:val="hybridMultilevel"/>
    <w:tmpl w:val="592082A4"/>
    <w:lvl w:ilvl="0" w:tplc="9AB802B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7333E6"/>
    <w:multiLevelType w:val="hybridMultilevel"/>
    <w:tmpl w:val="653C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41F3E"/>
    <w:multiLevelType w:val="hybridMultilevel"/>
    <w:tmpl w:val="89CCC292"/>
    <w:lvl w:ilvl="0" w:tplc="4CB4F9BA">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9D6BA9"/>
    <w:multiLevelType w:val="hybridMultilevel"/>
    <w:tmpl w:val="E186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665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0901C4"/>
    <w:multiLevelType w:val="hybridMultilevel"/>
    <w:tmpl w:val="CA56CA36"/>
    <w:lvl w:ilvl="0" w:tplc="45461E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06AB5"/>
    <w:multiLevelType w:val="hybridMultilevel"/>
    <w:tmpl w:val="19D8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A50A8"/>
    <w:multiLevelType w:val="hybridMultilevel"/>
    <w:tmpl w:val="E436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40D9E"/>
    <w:multiLevelType w:val="hybridMultilevel"/>
    <w:tmpl w:val="AB72D6F8"/>
    <w:lvl w:ilvl="0" w:tplc="FFFFFFFF">
      <w:start w:val="1"/>
      <w:numFmt w:val="bullet"/>
      <w:lvlText w:val=""/>
      <w:lvlJc w:val="left"/>
      <w:pPr>
        <w:ind w:left="720" w:hanging="360"/>
      </w:pPr>
      <w:rPr>
        <w:rFonts w:ascii="Symbol" w:hAnsi="Symbol" w:hint="default"/>
      </w:rPr>
    </w:lvl>
    <w:lvl w:ilvl="1" w:tplc="4CB4F9BA">
      <w:start w:val="1"/>
      <w:numFmt w:val="bullet"/>
      <w:lvlText w:val="­"/>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92082"/>
    <w:multiLevelType w:val="hybridMultilevel"/>
    <w:tmpl w:val="B7500836"/>
    <w:lvl w:ilvl="0" w:tplc="5EFE91C2">
      <w:start w:val="1"/>
      <w:numFmt w:val="bullet"/>
      <w:lvlText w:val="•"/>
      <w:lvlJc w:val="left"/>
      <w:pPr>
        <w:tabs>
          <w:tab w:val="num" w:pos="720"/>
        </w:tabs>
        <w:ind w:left="720" w:hanging="360"/>
      </w:pPr>
      <w:rPr>
        <w:rFonts w:ascii="Arial" w:hAnsi="Arial" w:hint="default"/>
      </w:rPr>
    </w:lvl>
    <w:lvl w:ilvl="1" w:tplc="491664D0" w:tentative="1">
      <w:start w:val="1"/>
      <w:numFmt w:val="bullet"/>
      <w:lvlText w:val="•"/>
      <w:lvlJc w:val="left"/>
      <w:pPr>
        <w:tabs>
          <w:tab w:val="num" w:pos="1440"/>
        </w:tabs>
        <w:ind w:left="1440" w:hanging="360"/>
      </w:pPr>
      <w:rPr>
        <w:rFonts w:ascii="Arial" w:hAnsi="Arial" w:hint="default"/>
      </w:rPr>
    </w:lvl>
    <w:lvl w:ilvl="2" w:tplc="F626A598" w:tentative="1">
      <w:start w:val="1"/>
      <w:numFmt w:val="bullet"/>
      <w:lvlText w:val="•"/>
      <w:lvlJc w:val="left"/>
      <w:pPr>
        <w:tabs>
          <w:tab w:val="num" w:pos="2160"/>
        </w:tabs>
        <w:ind w:left="2160" w:hanging="360"/>
      </w:pPr>
      <w:rPr>
        <w:rFonts w:ascii="Arial" w:hAnsi="Arial" w:hint="default"/>
      </w:rPr>
    </w:lvl>
    <w:lvl w:ilvl="3" w:tplc="557E531C" w:tentative="1">
      <w:start w:val="1"/>
      <w:numFmt w:val="bullet"/>
      <w:lvlText w:val="•"/>
      <w:lvlJc w:val="left"/>
      <w:pPr>
        <w:tabs>
          <w:tab w:val="num" w:pos="2880"/>
        </w:tabs>
        <w:ind w:left="2880" w:hanging="360"/>
      </w:pPr>
      <w:rPr>
        <w:rFonts w:ascii="Arial" w:hAnsi="Arial" w:hint="default"/>
      </w:rPr>
    </w:lvl>
    <w:lvl w:ilvl="4" w:tplc="E2CC3798" w:tentative="1">
      <w:start w:val="1"/>
      <w:numFmt w:val="bullet"/>
      <w:lvlText w:val="•"/>
      <w:lvlJc w:val="left"/>
      <w:pPr>
        <w:tabs>
          <w:tab w:val="num" w:pos="3600"/>
        </w:tabs>
        <w:ind w:left="3600" w:hanging="360"/>
      </w:pPr>
      <w:rPr>
        <w:rFonts w:ascii="Arial" w:hAnsi="Arial" w:hint="default"/>
      </w:rPr>
    </w:lvl>
    <w:lvl w:ilvl="5" w:tplc="37B236B4" w:tentative="1">
      <w:start w:val="1"/>
      <w:numFmt w:val="bullet"/>
      <w:lvlText w:val="•"/>
      <w:lvlJc w:val="left"/>
      <w:pPr>
        <w:tabs>
          <w:tab w:val="num" w:pos="4320"/>
        </w:tabs>
        <w:ind w:left="4320" w:hanging="360"/>
      </w:pPr>
      <w:rPr>
        <w:rFonts w:ascii="Arial" w:hAnsi="Arial" w:hint="default"/>
      </w:rPr>
    </w:lvl>
    <w:lvl w:ilvl="6" w:tplc="0DCA5F80" w:tentative="1">
      <w:start w:val="1"/>
      <w:numFmt w:val="bullet"/>
      <w:lvlText w:val="•"/>
      <w:lvlJc w:val="left"/>
      <w:pPr>
        <w:tabs>
          <w:tab w:val="num" w:pos="5040"/>
        </w:tabs>
        <w:ind w:left="5040" w:hanging="360"/>
      </w:pPr>
      <w:rPr>
        <w:rFonts w:ascii="Arial" w:hAnsi="Arial" w:hint="default"/>
      </w:rPr>
    </w:lvl>
    <w:lvl w:ilvl="7" w:tplc="30C42C90" w:tentative="1">
      <w:start w:val="1"/>
      <w:numFmt w:val="bullet"/>
      <w:lvlText w:val="•"/>
      <w:lvlJc w:val="left"/>
      <w:pPr>
        <w:tabs>
          <w:tab w:val="num" w:pos="5760"/>
        </w:tabs>
        <w:ind w:left="5760" w:hanging="360"/>
      </w:pPr>
      <w:rPr>
        <w:rFonts w:ascii="Arial" w:hAnsi="Arial" w:hint="default"/>
      </w:rPr>
    </w:lvl>
    <w:lvl w:ilvl="8" w:tplc="02863F04" w:tentative="1">
      <w:start w:val="1"/>
      <w:numFmt w:val="bullet"/>
      <w:lvlText w:val="•"/>
      <w:lvlJc w:val="left"/>
      <w:pPr>
        <w:tabs>
          <w:tab w:val="num" w:pos="6480"/>
        </w:tabs>
        <w:ind w:left="6480" w:hanging="360"/>
      </w:pPr>
      <w:rPr>
        <w:rFonts w:ascii="Arial" w:hAnsi="Arial" w:hint="default"/>
      </w:rPr>
    </w:lvl>
  </w:abstractNum>
  <w:num w:numId="1" w16cid:durableId="1349795252">
    <w:abstractNumId w:val="1"/>
  </w:num>
  <w:num w:numId="2" w16cid:durableId="1394693074">
    <w:abstractNumId w:val="20"/>
  </w:num>
  <w:num w:numId="3" w16cid:durableId="570964709">
    <w:abstractNumId w:val="13"/>
  </w:num>
  <w:num w:numId="4" w16cid:durableId="255678522">
    <w:abstractNumId w:val="5"/>
    <w:lvlOverride w:ilvl="0">
      <w:lvl w:ilvl="0">
        <w:start w:val="1"/>
        <w:numFmt w:val="bullet"/>
        <w:pStyle w:val="ListBullet"/>
        <w:lvlText w:val=""/>
        <w:lvlJc w:val="left"/>
        <w:pPr>
          <w:tabs>
            <w:tab w:val="num" w:pos="2716"/>
          </w:tabs>
          <w:ind w:left="3000" w:hanging="284"/>
        </w:pPr>
        <w:rPr>
          <w:rFonts w:ascii="Symbol" w:hAnsi="Symbol" w:hint="default"/>
          <w:color w:val="FFFFFF" w:themeColor="text1"/>
        </w:rPr>
      </w:lvl>
    </w:lvlOverride>
  </w:num>
  <w:num w:numId="5" w16cid:durableId="1307932120">
    <w:abstractNumId w:val="5"/>
  </w:num>
  <w:num w:numId="6" w16cid:durableId="1047995405">
    <w:abstractNumId w:val="15"/>
  </w:num>
  <w:num w:numId="7" w16cid:durableId="1100757277">
    <w:abstractNumId w:val="23"/>
  </w:num>
  <w:num w:numId="8" w16cid:durableId="2048144116">
    <w:abstractNumId w:val="32"/>
  </w:num>
  <w:num w:numId="9" w16cid:durableId="1413968820">
    <w:abstractNumId w:val="10"/>
  </w:num>
  <w:num w:numId="10" w16cid:durableId="2068644195">
    <w:abstractNumId w:val="26"/>
  </w:num>
  <w:num w:numId="11" w16cid:durableId="941034110">
    <w:abstractNumId w:val="14"/>
  </w:num>
  <w:num w:numId="12" w16cid:durableId="1350714437">
    <w:abstractNumId w:val="25"/>
  </w:num>
  <w:num w:numId="13" w16cid:durableId="1480533346">
    <w:abstractNumId w:val="24"/>
  </w:num>
  <w:num w:numId="14" w16cid:durableId="1341853188">
    <w:abstractNumId w:val="4"/>
  </w:num>
  <w:num w:numId="15" w16cid:durableId="864832937">
    <w:abstractNumId w:val="4"/>
    <w:lvlOverride w:ilvl="0">
      <w:startOverride w:val="1"/>
    </w:lvlOverride>
  </w:num>
  <w:num w:numId="16" w16cid:durableId="177931386">
    <w:abstractNumId w:val="34"/>
  </w:num>
  <w:num w:numId="17" w16cid:durableId="717511606">
    <w:abstractNumId w:val="8"/>
  </w:num>
  <w:num w:numId="18" w16cid:durableId="897205672">
    <w:abstractNumId w:val="6"/>
  </w:num>
  <w:num w:numId="19" w16cid:durableId="413205423">
    <w:abstractNumId w:val="29"/>
  </w:num>
  <w:num w:numId="20" w16cid:durableId="977491109">
    <w:abstractNumId w:val="3"/>
  </w:num>
  <w:num w:numId="21" w16cid:durableId="468060089">
    <w:abstractNumId w:val="36"/>
  </w:num>
  <w:num w:numId="22" w16cid:durableId="816922572">
    <w:abstractNumId w:val="19"/>
  </w:num>
  <w:num w:numId="23" w16cid:durableId="1563328400">
    <w:abstractNumId w:val="9"/>
  </w:num>
  <w:num w:numId="24" w16cid:durableId="2099668820">
    <w:abstractNumId w:val="17"/>
  </w:num>
  <w:num w:numId="25" w16cid:durableId="249975631">
    <w:abstractNumId w:val="37"/>
  </w:num>
  <w:num w:numId="26" w16cid:durableId="615790423">
    <w:abstractNumId w:val="18"/>
  </w:num>
  <w:num w:numId="27" w16cid:durableId="310524080">
    <w:abstractNumId w:val="0"/>
  </w:num>
  <w:num w:numId="28" w16cid:durableId="1670057353">
    <w:abstractNumId w:val="12"/>
  </w:num>
  <w:num w:numId="29" w16cid:durableId="815298018">
    <w:abstractNumId w:val="16"/>
  </w:num>
  <w:num w:numId="30" w16cid:durableId="772818333">
    <w:abstractNumId w:val="30"/>
  </w:num>
  <w:num w:numId="31" w16cid:durableId="1302266348">
    <w:abstractNumId w:val="11"/>
  </w:num>
  <w:num w:numId="32" w16cid:durableId="1377654711">
    <w:abstractNumId w:val="21"/>
  </w:num>
  <w:num w:numId="33" w16cid:durableId="417216441">
    <w:abstractNumId w:val="22"/>
  </w:num>
  <w:num w:numId="34" w16cid:durableId="794176733">
    <w:abstractNumId w:val="31"/>
  </w:num>
  <w:num w:numId="35" w16cid:durableId="1322543237">
    <w:abstractNumId w:val="7"/>
  </w:num>
  <w:num w:numId="36" w16cid:durableId="2081323043">
    <w:abstractNumId w:val="27"/>
  </w:num>
  <w:num w:numId="37" w16cid:durableId="10692969">
    <w:abstractNumId w:val="35"/>
  </w:num>
  <w:num w:numId="38" w16cid:durableId="157311729">
    <w:abstractNumId w:val="2"/>
  </w:num>
  <w:num w:numId="39" w16cid:durableId="151484151">
    <w:abstractNumId w:val="38"/>
  </w:num>
  <w:num w:numId="40" w16cid:durableId="841700102">
    <w:abstractNumId w:val="33"/>
  </w:num>
  <w:num w:numId="41" w16cid:durableId="63864946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2F"/>
    <w:rsid w:val="00000197"/>
    <w:rsid w:val="000005C7"/>
    <w:rsid w:val="000031CE"/>
    <w:rsid w:val="00003EE8"/>
    <w:rsid w:val="0000416F"/>
    <w:rsid w:val="00004C77"/>
    <w:rsid w:val="000055C4"/>
    <w:rsid w:val="000057DE"/>
    <w:rsid w:val="00006985"/>
    <w:rsid w:val="000108B8"/>
    <w:rsid w:val="0001164C"/>
    <w:rsid w:val="000213EB"/>
    <w:rsid w:val="000218ED"/>
    <w:rsid w:val="000271F6"/>
    <w:rsid w:val="00027653"/>
    <w:rsid w:val="000301EA"/>
    <w:rsid w:val="00031129"/>
    <w:rsid w:val="0003185C"/>
    <w:rsid w:val="00031FD0"/>
    <w:rsid w:val="000322DD"/>
    <w:rsid w:val="0003295C"/>
    <w:rsid w:val="00032B2E"/>
    <w:rsid w:val="0003436D"/>
    <w:rsid w:val="000345E8"/>
    <w:rsid w:val="0003712E"/>
    <w:rsid w:val="00041212"/>
    <w:rsid w:val="00042DB3"/>
    <w:rsid w:val="00046668"/>
    <w:rsid w:val="00046C3B"/>
    <w:rsid w:val="000503BA"/>
    <w:rsid w:val="00050726"/>
    <w:rsid w:val="000524F3"/>
    <w:rsid w:val="00055630"/>
    <w:rsid w:val="00060FC9"/>
    <w:rsid w:val="00061452"/>
    <w:rsid w:val="000635C9"/>
    <w:rsid w:val="00065021"/>
    <w:rsid w:val="00066BF1"/>
    <w:rsid w:val="00067BCC"/>
    <w:rsid w:val="000702CF"/>
    <w:rsid w:val="000733A2"/>
    <w:rsid w:val="00076C59"/>
    <w:rsid w:val="00076CE2"/>
    <w:rsid w:val="00080908"/>
    <w:rsid w:val="00080985"/>
    <w:rsid w:val="00081B39"/>
    <w:rsid w:val="00081F1D"/>
    <w:rsid w:val="00082499"/>
    <w:rsid w:val="0008313C"/>
    <w:rsid w:val="000840C2"/>
    <w:rsid w:val="00085B44"/>
    <w:rsid w:val="000863E2"/>
    <w:rsid w:val="00091929"/>
    <w:rsid w:val="00092728"/>
    <w:rsid w:val="000935A1"/>
    <w:rsid w:val="00093EF5"/>
    <w:rsid w:val="000942DE"/>
    <w:rsid w:val="0009485D"/>
    <w:rsid w:val="00094ADF"/>
    <w:rsid w:val="00095621"/>
    <w:rsid w:val="00096526"/>
    <w:rsid w:val="0009691C"/>
    <w:rsid w:val="000A0D54"/>
    <w:rsid w:val="000A1144"/>
    <w:rsid w:val="000A266D"/>
    <w:rsid w:val="000A3B2D"/>
    <w:rsid w:val="000A40D3"/>
    <w:rsid w:val="000A5108"/>
    <w:rsid w:val="000A5EFA"/>
    <w:rsid w:val="000A64E4"/>
    <w:rsid w:val="000B1A4F"/>
    <w:rsid w:val="000B2E1F"/>
    <w:rsid w:val="000B3260"/>
    <w:rsid w:val="000B38EA"/>
    <w:rsid w:val="000B4EA8"/>
    <w:rsid w:val="000B5A3F"/>
    <w:rsid w:val="000B7D23"/>
    <w:rsid w:val="000C05C3"/>
    <w:rsid w:val="000C2447"/>
    <w:rsid w:val="000C24AF"/>
    <w:rsid w:val="000C5508"/>
    <w:rsid w:val="000C5891"/>
    <w:rsid w:val="000C6751"/>
    <w:rsid w:val="000D12DB"/>
    <w:rsid w:val="000D1CD7"/>
    <w:rsid w:val="000D338D"/>
    <w:rsid w:val="000D338F"/>
    <w:rsid w:val="000D39C3"/>
    <w:rsid w:val="000D6040"/>
    <w:rsid w:val="000D7F6F"/>
    <w:rsid w:val="000E2EBE"/>
    <w:rsid w:val="000E6D0E"/>
    <w:rsid w:val="000F097A"/>
    <w:rsid w:val="000F1F92"/>
    <w:rsid w:val="000F3C95"/>
    <w:rsid w:val="000F7FE1"/>
    <w:rsid w:val="00100343"/>
    <w:rsid w:val="00101883"/>
    <w:rsid w:val="0010192E"/>
    <w:rsid w:val="001024DC"/>
    <w:rsid w:val="00103F4D"/>
    <w:rsid w:val="0010592F"/>
    <w:rsid w:val="00113EEC"/>
    <w:rsid w:val="0011433C"/>
    <w:rsid w:val="00114B34"/>
    <w:rsid w:val="00117F01"/>
    <w:rsid w:val="00121A3A"/>
    <w:rsid w:val="00123CA6"/>
    <w:rsid w:val="00126FB6"/>
    <w:rsid w:val="00127C11"/>
    <w:rsid w:val="00133BF0"/>
    <w:rsid w:val="001340AC"/>
    <w:rsid w:val="001370D6"/>
    <w:rsid w:val="00142E93"/>
    <w:rsid w:val="001433EF"/>
    <w:rsid w:val="00145C98"/>
    <w:rsid w:val="00150A67"/>
    <w:rsid w:val="001532F4"/>
    <w:rsid w:val="00155537"/>
    <w:rsid w:val="00156610"/>
    <w:rsid w:val="00157024"/>
    <w:rsid w:val="0016028A"/>
    <w:rsid w:val="00162261"/>
    <w:rsid w:val="0016369D"/>
    <w:rsid w:val="00163969"/>
    <w:rsid w:val="00163BEC"/>
    <w:rsid w:val="00164392"/>
    <w:rsid w:val="001716E5"/>
    <w:rsid w:val="0017183E"/>
    <w:rsid w:val="00172021"/>
    <w:rsid w:val="00172921"/>
    <w:rsid w:val="0017482B"/>
    <w:rsid w:val="00183BFF"/>
    <w:rsid w:val="00185116"/>
    <w:rsid w:val="00185968"/>
    <w:rsid w:val="0019167F"/>
    <w:rsid w:val="00193A06"/>
    <w:rsid w:val="0019414D"/>
    <w:rsid w:val="001949DC"/>
    <w:rsid w:val="00194EA7"/>
    <w:rsid w:val="0019592C"/>
    <w:rsid w:val="00197739"/>
    <w:rsid w:val="001A0D22"/>
    <w:rsid w:val="001A0D29"/>
    <w:rsid w:val="001A1D6A"/>
    <w:rsid w:val="001A3CE5"/>
    <w:rsid w:val="001A6F05"/>
    <w:rsid w:val="001B45C0"/>
    <w:rsid w:val="001C04FC"/>
    <w:rsid w:val="001C1D52"/>
    <w:rsid w:val="001C3565"/>
    <w:rsid w:val="001C6937"/>
    <w:rsid w:val="001C7E2B"/>
    <w:rsid w:val="001D237C"/>
    <w:rsid w:val="001D243C"/>
    <w:rsid w:val="001D5CCC"/>
    <w:rsid w:val="001D7D3B"/>
    <w:rsid w:val="001E004E"/>
    <w:rsid w:val="001E2170"/>
    <w:rsid w:val="001E27F8"/>
    <w:rsid w:val="001E4556"/>
    <w:rsid w:val="001E52B2"/>
    <w:rsid w:val="001F14C2"/>
    <w:rsid w:val="001F3126"/>
    <w:rsid w:val="001F377F"/>
    <w:rsid w:val="00200C9D"/>
    <w:rsid w:val="002020D0"/>
    <w:rsid w:val="002048D3"/>
    <w:rsid w:val="00204ECE"/>
    <w:rsid w:val="00205415"/>
    <w:rsid w:val="00210345"/>
    <w:rsid w:val="00210972"/>
    <w:rsid w:val="00211E50"/>
    <w:rsid w:val="00213868"/>
    <w:rsid w:val="002175BE"/>
    <w:rsid w:val="0022134A"/>
    <w:rsid w:val="00222B10"/>
    <w:rsid w:val="0022462B"/>
    <w:rsid w:val="0022596F"/>
    <w:rsid w:val="00227ACC"/>
    <w:rsid w:val="00230AA6"/>
    <w:rsid w:val="00231299"/>
    <w:rsid w:val="002347B7"/>
    <w:rsid w:val="002358E8"/>
    <w:rsid w:val="002365A0"/>
    <w:rsid w:val="00240B6E"/>
    <w:rsid w:val="002440E5"/>
    <w:rsid w:val="00245FE3"/>
    <w:rsid w:val="00246075"/>
    <w:rsid w:val="0024677B"/>
    <w:rsid w:val="00247D03"/>
    <w:rsid w:val="00251074"/>
    <w:rsid w:val="00251B94"/>
    <w:rsid w:val="00255D84"/>
    <w:rsid w:val="00255F8E"/>
    <w:rsid w:val="00260EF0"/>
    <w:rsid w:val="00263CCF"/>
    <w:rsid w:val="002643F6"/>
    <w:rsid w:val="0026683F"/>
    <w:rsid w:val="00266DAB"/>
    <w:rsid w:val="00270DAD"/>
    <w:rsid w:val="002722F2"/>
    <w:rsid w:val="00274EC8"/>
    <w:rsid w:val="00280193"/>
    <w:rsid w:val="002855F7"/>
    <w:rsid w:val="002905E7"/>
    <w:rsid w:val="00290BFD"/>
    <w:rsid w:val="002916EE"/>
    <w:rsid w:val="00294488"/>
    <w:rsid w:val="00295574"/>
    <w:rsid w:val="00297D91"/>
    <w:rsid w:val="002A278E"/>
    <w:rsid w:val="002A3F48"/>
    <w:rsid w:val="002A45CD"/>
    <w:rsid w:val="002A4B2F"/>
    <w:rsid w:val="002B24BD"/>
    <w:rsid w:val="002B2CB5"/>
    <w:rsid w:val="002B3217"/>
    <w:rsid w:val="002B3BFD"/>
    <w:rsid w:val="002B50C2"/>
    <w:rsid w:val="002B646B"/>
    <w:rsid w:val="002B7498"/>
    <w:rsid w:val="002B7B23"/>
    <w:rsid w:val="002C0816"/>
    <w:rsid w:val="002C0B95"/>
    <w:rsid w:val="002D5F67"/>
    <w:rsid w:val="002E2CF0"/>
    <w:rsid w:val="002E3AEB"/>
    <w:rsid w:val="002E6B3E"/>
    <w:rsid w:val="002E7915"/>
    <w:rsid w:val="002F00DF"/>
    <w:rsid w:val="002F45CE"/>
    <w:rsid w:val="002F500E"/>
    <w:rsid w:val="002F623D"/>
    <w:rsid w:val="002F7B8F"/>
    <w:rsid w:val="00302E8F"/>
    <w:rsid w:val="003062BB"/>
    <w:rsid w:val="00306F8B"/>
    <w:rsid w:val="0031052A"/>
    <w:rsid w:val="003110C7"/>
    <w:rsid w:val="00312635"/>
    <w:rsid w:val="00312739"/>
    <w:rsid w:val="0031393D"/>
    <w:rsid w:val="00315BFC"/>
    <w:rsid w:val="0032140C"/>
    <w:rsid w:val="00321970"/>
    <w:rsid w:val="00322D9E"/>
    <w:rsid w:val="0032671C"/>
    <w:rsid w:val="00327E3E"/>
    <w:rsid w:val="00333DD0"/>
    <w:rsid w:val="0033674A"/>
    <w:rsid w:val="00336DF1"/>
    <w:rsid w:val="00336F71"/>
    <w:rsid w:val="0033715E"/>
    <w:rsid w:val="00341932"/>
    <w:rsid w:val="00344327"/>
    <w:rsid w:val="0034439B"/>
    <w:rsid w:val="003444C7"/>
    <w:rsid w:val="00344F4F"/>
    <w:rsid w:val="003454C5"/>
    <w:rsid w:val="0034560E"/>
    <w:rsid w:val="003523FC"/>
    <w:rsid w:val="0035386A"/>
    <w:rsid w:val="00353E9B"/>
    <w:rsid w:val="0035464A"/>
    <w:rsid w:val="00355691"/>
    <w:rsid w:val="003569DB"/>
    <w:rsid w:val="003570AB"/>
    <w:rsid w:val="003574AF"/>
    <w:rsid w:val="003602B8"/>
    <w:rsid w:val="0036081E"/>
    <w:rsid w:val="003639AC"/>
    <w:rsid w:val="00364E2C"/>
    <w:rsid w:val="00365722"/>
    <w:rsid w:val="00366F65"/>
    <w:rsid w:val="0036773C"/>
    <w:rsid w:val="003716B8"/>
    <w:rsid w:val="0037185F"/>
    <w:rsid w:val="00372D09"/>
    <w:rsid w:val="00375DA9"/>
    <w:rsid w:val="003769AE"/>
    <w:rsid w:val="00376A1F"/>
    <w:rsid w:val="00377764"/>
    <w:rsid w:val="003836F9"/>
    <w:rsid w:val="00387C4A"/>
    <w:rsid w:val="003952A2"/>
    <w:rsid w:val="003A4B22"/>
    <w:rsid w:val="003B0852"/>
    <w:rsid w:val="003B2686"/>
    <w:rsid w:val="003B36E3"/>
    <w:rsid w:val="003B3A19"/>
    <w:rsid w:val="003B3C7F"/>
    <w:rsid w:val="003B5262"/>
    <w:rsid w:val="003B596D"/>
    <w:rsid w:val="003B60D0"/>
    <w:rsid w:val="003B6BB4"/>
    <w:rsid w:val="003C0732"/>
    <w:rsid w:val="003C46E3"/>
    <w:rsid w:val="003C5D6D"/>
    <w:rsid w:val="003D059C"/>
    <w:rsid w:val="003D22C8"/>
    <w:rsid w:val="003D2C50"/>
    <w:rsid w:val="003D3A42"/>
    <w:rsid w:val="003E1CAE"/>
    <w:rsid w:val="003E253E"/>
    <w:rsid w:val="003E57B6"/>
    <w:rsid w:val="003E6D76"/>
    <w:rsid w:val="003E6EA3"/>
    <w:rsid w:val="003E7052"/>
    <w:rsid w:val="003E7C43"/>
    <w:rsid w:val="003F254B"/>
    <w:rsid w:val="003F33EC"/>
    <w:rsid w:val="003F3C38"/>
    <w:rsid w:val="003F4289"/>
    <w:rsid w:val="003F481C"/>
    <w:rsid w:val="003F7B0C"/>
    <w:rsid w:val="004006C3"/>
    <w:rsid w:val="004015BB"/>
    <w:rsid w:val="00402D6E"/>
    <w:rsid w:val="0040410F"/>
    <w:rsid w:val="004043DB"/>
    <w:rsid w:val="004068B9"/>
    <w:rsid w:val="00411D1D"/>
    <w:rsid w:val="00412174"/>
    <w:rsid w:val="004147A0"/>
    <w:rsid w:val="00416630"/>
    <w:rsid w:val="00420E7F"/>
    <w:rsid w:val="004211F1"/>
    <w:rsid w:val="0042241D"/>
    <w:rsid w:val="00423FAF"/>
    <w:rsid w:val="00425612"/>
    <w:rsid w:val="00427636"/>
    <w:rsid w:val="00430131"/>
    <w:rsid w:val="00435EC2"/>
    <w:rsid w:val="004425B0"/>
    <w:rsid w:val="00443074"/>
    <w:rsid w:val="00443088"/>
    <w:rsid w:val="00444CDD"/>
    <w:rsid w:val="00447E51"/>
    <w:rsid w:val="00455A3F"/>
    <w:rsid w:val="00456C12"/>
    <w:rsid w:val="00465401"/>
    <w:rsid w:val="00471AF8"/>
    <w:rsid w:val="00472A0C"/>
    <w:rsid w:val="00472D24"/>
    <w:rsid w:val="00472D33"/>
    <w:rsid w:val="004742C8"/>
    <w:rsid w:val="0047462B"/>
    <w:rsid w:val="004761CE"/>
    <w:rsid w:val="00480932"/>
    <w:rsid w:val="00480CB8"/>
    <w:rsid w:val="00481FB0"/>
    <w:rsid w:val="004838BE"/>
    <w:rsid w:val="00491977"/>
    <w:rsid w:val="0049494F"/>
    <w:rsid w:val="00497DE0"/>
    <w:rsid w:val="004A52E3"/>
    <w:rsid w:val="004A646E"/>
    <w:rsid w:val="004B0364"/>
    <w:rsid w:val="004B0A4D"/>
    <w:rsid w:val="004B20B2"/>
    <w:rsid w:val="004B2C6C"/>
    <w:rsid w:val="004B427A"/>
    <w:rsid w:val="004B50C6"/>
    <w:rsid w:val="004C4CB1"/>
    <w:rsid w:val="004C75CC"/>
    <w:rsid w:val="004D3B7C"/>
    <w:rsid w:val="004D763F"/>
    <w:rsid w:val="004D7698"/>
    <w:rsid w:val="004D779A"/>
    <w:rsid w:val="004D7FF2"/>
    <w:rsid w:val="004E0804"/>
    <w:rsid w:val="004E669E"/>
    <w:rsid w:val="004F0A67"/>
    <w:rsid w:val="004F1337"/>
    <w:rsid w:val="004F28CE"/>
    <w:rsid w:val="004F478D"/>
    <w:rsid w:val="004F6303"/>
    <w:rsid w:val="004F69E2"/>
    <w:rsid w:val="004F7BD3"/>
    <w:rsid w:val="005014AF"/>
    <w:rsid w:val="0050303F"/>
    <w:rsid w:val="00505B41"/>
    <w:rsid w:val="0050738C"/>
    <w:rsid w:val="00510FA6"/>
    <w:rsid w:val="00514B69"/>
    <w:rsid w:val="0051722D"/>
    <w:rsid w:val="0051767F"/>
    <w:rsid w:val="00521689"/>
    <w:rsid w:val="00521D82"/>
    <w:rsid w:val="00522031"/>
    <w:rsid w:val="0052302B"/>
    <w:rsid w:val="005256C9"/>
    <w:rsid w:val="00525E0C"/>
    <w:rsid w:val="005263C5"/>
    <w:rsid w:val="0052756A"/>
    <w:rsid w:val="00534180"/>
    <w:rsid w:val="00537433"/>
    <w:rsid w:val="00540C60"/>
    <w:rsid w:val="00541624"/>
    <w:rsid w:val="00544C0C"/>
    <w:rsid w:val="00545FE1"/>
    <w:rsid w:val="005473F9"/>
    <w:rsid w:val="00547C28"/>
    <w:rsid w:val="00552EB1"/>
    <w:rsid w:val="0055353C"/>
    <w:rsid w:val="00554CB7"/>
    <w:rsid w:val="00560C6B"/>
    <w:rsid w:val="005634F0"/>
    <w:rsid w:val="00563886"/>
    <w:rsid w:val="00564581"/>
    <w:rsid w:val="0057266B"/>
    <w:rsid w:val="005730C1"/>
    <w:rsid w:val="00573EED"/>
    <w:rsid w:val="00574B6D"/>
    <w:rsid w:val="00577A42"/>
    <w:rsid w:val="0058074E"/>
    <w:rsid w:val="0058121B"/>
    <w:rsid w:val="00582335"/>
    <w:rsid w:val="0058376A"/>
    <w:rsid w:val="00584D6A"/>
    <w:rsid w:val="00586610"/>
    <w:rsid w:val="005875B0"/>
    <w:rsid w:val="00590D21"/>
    <w:rsid w:val="005946F3"/>
    <w:rsid w:val="0059509C"/>
    <w:rsid w:val="005A0D6F"/>
    <w:rsid w:val="005A3839"/>
    <w:rsid w:val="005A3B89"/>
    <w:rsid w:val="005A493F"/>
    <w:rsid w:val="005A7217"/>
    <w:rsid w:val="005B1D2A"/>
    <w:rsid w:val="005B7001"/>
    <w:rsid w:val="005C068C"/>
    <w:rsid w:val="005C2644"/>
    <w:rsid w:val="005C3745"/>
    <w:rsid w:val="005D0F7E"/>
    <w:rsid w:val="005D2080"/>
    <w:rsid w:val="005D234A"/>
    <w:rsid w:val="005D2E06"/>
    <w:rsid w:val="005D4E5A"/>
    <w:rsid w:val="005D61B4"/>
    <w:rsid w:val="005E044E"/>
    <w:rsid w:val="005E060B"/>
    <w:rsid w:val="005E0CF3"/>
    <w:rsid w:val="005E1C3C"/>
    <w:rsid w:val="005E2CD8"/>
    <w:rsid w:val="005E6EBA"/>
    <w:rsid w:val="005E7205"/>
    <w:rsid w:val="005F0359"/>
    <w:rsid w:val="00601628"/>
    <w:rsid w:val="00601DBA"/>
    <w:rsid w:val="00603A2C"/>
    <w:rsid w:val="00605C6F"/>
    <w:rsid w:val="006064D4"/>
    <w:rsid w:val="00612389"/>
    <w:rsid w:val="00613251"/>
    <w:rsid w:val="00613A01"/>
    <w:rsid w:val="006145E0"/>
    <w:rsid w:val="00614F79"/>
    <w:rsid w:val="00616632"/>
    <w:rsid w:val="00617402"/>
    <w:rsid w:val="00617CB9"/>
    <w:rsid w:val="00621E9A"/>
    <w:rsid w:val="00625734"/>
    <w:rsid w:val="00625829"/>
    <w:rsid w:val="00627B9B"/>
    <w:rsid w:val="0063025D"/>
    <w:rsid w:val="006339C2"/>
    <w:rsid w:val="00634384"/>
    <w:rsid w:val="0063502E"/>
    <w:rsid w:val="0064203F"/>
    <w:rsid w:val="00644F0F"/>
    <w:rsid w:val="00646F12"/>
    <w:rsid w:val="00650AC5"/>
    <w:rsid w:val="006520A5"/>
    <w:rsid w:val="00654EE0"/>
    <w:rsid w:val="0065507F"/>
    <w:rsid w:val="006562C8"/>
    <w:rsid w:val="0065752A"/>
    <w:rsid w:val="006615C2"/>
    <w:rsid w:val="006662D3"/>
    <w:rsid w:val="00666606"/>
    <w:rsid w:val="006679DE"/>
    <w:rsid w:val="00670F99"/>
    <w:rsid w:val="00671B7A"/>
    <w:rsid w:val="00672717"/>
    <w:rsid w:val="006727C1"/>
    <w:rsid w:val="00673CCA"/>
    <w:rsid w:val="00675E35"/>
    <w:rsid w:val="00680658"/>
    <w:rsid w:val="00680668"/>
    <w:rsid w:val="00682E3B"/>
    <w:rsid w:val="00684633"/>
    <w:rsid w:val="00691881"/>
    <w:rsid w:val="00692041"/>
    <w:rsid w:val="00693610"/>
    <w:rsid w:val="00694FC4"/>
    <w:rsid w:val="00697846"/>
    <w:rsid w:val="00697CAE"/>
    <w:rsid w:val="006A15DC"/>
    <w:rsid w:val="006A1A37"/>
    <w:rsid w:val="006A7BB0"/>
    <w:rsid w:val="006B72B1"/>
    <w:rsid w:val="006C1240"/>
    <w:rsid w:val="006C3A5B"/>
    <w:rsid w:val="006C44AA"/>
    <w:rsid w:val="006C5419"/>
    <w:rsid w:val="006C7E28"/>
    <w:rsid w:val="006D02E8"/>
    <w:rsid w:val="006D5495"/>
    <w:rsid w:val="006E275C"/>
    <w:rsid w:val="006E2FE7"/>
    <w:rsid w:val="006F37F0"/>
    <w:rsid w:val="00700880"/>
    <w:rsid w:val="007010E1"/>
    <w:rsid w:val="0070227A"/>
    <w:rsid w:val="007028E3"/>
    <w:rsid w:val="00702B4D"/>
    <w:rsid w:val="00707273"/>
    <w:rsid w:val="00710E40"/>
    <w:rsid w:val="00714540"/>
    <w:rsid w:val="0071497F"/>
    <w:rsid w:val="00716807"/>
    <w:rsid w:val="00717304"/>
    <w:rsid w:val="007204A6"/>
    <w:rsid w:val="007213A2"/>
    <w:rsid w:val="00723A85"/>
    <w:rsid w:val="007302A0"/>
    <w:rsid w:val="007312DB"/>
    <w:rsid w:val="0073429A"/>
    <w:rsid w:val="007375BC"/>
    <w:rsid w:val="00740573"/>
    <w:rsid w:val="0074507D"/>
    <w:rsid w:val="007506BC"/>
    <w:rsid w:val="00751FEC"/>
    <w:rsid w:val="00753782"/>
    <w:rsid w:val="00753953"/>
    <w:rsid w:val="007549EB"/>
    <w:rsid w:val="00754A44"/>
    <w:rsid w:val="00757D71"/>
    <w:rsid w:val="00761E45"/>
    <w:rsid w:val="00763FA3"/>
    <w:rsid w:val="007663CB"/>
    <w:rsid w:val="00770788"/>
    <w:rsid w:val="00772597"/>
    <w:rsid w:val="0077479A"/>
    <w:rsid w:val="00775BD9"/>
    <w:rsid w:val="00781452"/>
    <w:rsid w:val="00784560"/>
    <w:rsid w:val="00785C3D"/>
    <w:rsid w:val="00791919"/>
    <w:rsid w:val="00792092"/>
    <w:rsid w:val="0079575E"/>
    <w:rsid w:val="007957CB"/>
    <w:rsid w:val="00795C17"/>
    <w:rsid w:val="007965F9"/>
    <w:rsid w:val="007968E7"/>
    <w:rsid w:val="00796E96"/>
    <w:rsid w:val="007A1D0E"/>
    <w:rsid w:val="007A2C46"/>
    <w:rsid w:val="007A3288"/>
    <w:rsid w:val="007A49F5"/>
    <w:rsid w:val="007A4A3F"/>
    <w:rsid w:val="007B59ED"/>
    <w:rsid w:val="007B62EE"/>
    <w:rsid w:val="007B777B"/>
    <w:rsid w:val="007B782E"/>
    <w:rsid w:val="007B789F"/>
    <w:rsid w:val="007C492B"/>
    <w:rsid w:val="007C7294"/>
    <w:rsid w:val="007D1E52"/>
    <w:rsid w:val="007D2FE0"/>
    <w:rsid w:val="007D6266"/>
    <w:rsid w:val="007D6BCB"/>
    <w:rsid w:val="007D70CB"/>
    <w:rsid w:val="007E12D1"/>
    <w:rsid w:val="007E16BF"/>
    <w:rsid w:val="007E2449"/>
    <w:rsid w:val="007E4138"/>
    <w:rsid w:val="007E699D"/>
    <w:rsid w:val="007E7101"/>
    <w:rsid w:val="007F03D2"/>
    <w:rsid w:val="007F06A0"/>
    <w:rsid w:val="007F0985"/>
    <w:rsid w:val="007F15FE"/>
    <w:rsid w:val="007F5954"/>
    <w:rsid w:val="007F6078"/>
    <w:rsid w:val="007F629F"/>
    <w:rsid w:val="007F789A"/>
    <w:rsid w:val="00801629"/>
    <w:rsid w:val="0080342E"/>
    <w:rsid w:val="00805057"/>
    <w:rsid w:val="00805AA1"/>
    <w:rsid w:val="00807206"/>
    <w:rsid w:val="008077FB"/>
    <w:rsid w:val="00810A95"/>
    <w:rsid w:val="008110B9"/>
    <w:rsid w:val="00811505"/>
    <w:rsid w:val="00811876"/>
    <w:rsid w:val="008136A8"/>
    <w:rsid w:val="00814283"/>
    <w:rsid w:val="008148ED"/>
    <w:rsid w:val="0081544B"/>
    <w:rsid w:val="00815BFF"/>
    <w:rsid w:val="00815E02"/>
    <w:rsid w:val="00816355"/>
    <w:rsid w:val="00821B92"/>
    <w:rsid w:val="00821EC7"/>
    <w:rsid w:val="00822E52"/>
    <w:rsid w:val="00825788"/>
    <w:rsid w:val="00826191"/>
    <w:rsid w:val="00826286"/>
    <w:rsid w:val="00827D2F"/>
    <w:rsid w:val="00834BE9"/>
    <w:rsid w:val="008367FE"/>
    <w:rsid w:val="0083784D"/>
    <w:rsid w:val="00840E1D"/>
    <w:rsid w:val="00842ACE"/>
    <w:rsid w:val="00842D21"/>
    <w:rsid w:val="008434D2"/>
    <w:rsid w:val="00845360"/>
    <w:rsid w:val="00845BF4"/>
    <w:rsid w:val="00845DB9"/>
    <w:rsid w:val="00846B40"/>
    <w:rsid w:val="008514BC"/>
    <w:rsid w:val="0085369D"/>
    <w:rsid w:val="00853A57"/>
    <w:rsid w:val="00853CC8"/>
    <w:rsid w:val="00854F52"/>
    <w:rsid w:val="00855D19"/>
    <w:rsid w:val="00856061"/>
    <w:rsid w:val="00860224"/>
    <w:rsid w:val="008606F7"/>
    <w:rsid w:val="008625E8"/>
    <w:rsid w:val="0086469F"/>
    <w:rsid w:val="00864885"/>
    <w:rsid w:val="00867CA8"/>
    <w:rsid w:val="008705FD"/>
    <w:rsid w:val="008744B1"/>
    <w:rsid w:val="008766F7"/>
    <w:rsid w:val="00877037"/>
    <w:rsid w:val="008800E2"/>
    <w:rsid w:val="00880D4A"/>
    <w:rsid w:val="00884FF1"/>
    <w:rsid w:val="008857FA"/>
    <w:rsid w:val="00890052"/>
    <w:rsid w:val="00890BDF"/>
    <w:rsid w:val="00891D6B"/>
    <w:rsid w:val="00895068"/>
    <w:rsid w:val="00897829"/>
    <w:rsid w:val="008A3E2F"/>
    <w:rsid w:val="008A493A"/>
    <w:rsid w:val="008B132E"/>
    <w:rsid w:val="008B5488"/>
    <w:rsid w:val="008B54FE"/>
    <w:rsid w:val="008B6A94"/>
    <w:rsid w:val="008C0280"/>
    <w:rsid w:val="008C05C0"/>
    <w:rsid w:val="008C36AF"/>
    <w:rsid w:val="008C53AF"/>
    <w:rsid w:val="008C59F2"/>
    <w:rsid w:val="008C6349"/>
    <w:rsid w:val="008C6E62"/>
    <w:rsid w:val="008C7569"/>
    <w:rsid w:val="008D0ED4"/>
    <w:rsid w:val="008D1313"/>
    <w:rsid w:val="008D2816"/>
    <w:rsid w:val="008D4AD8"/>
    <w:rsid w:val="008D50ED"/>
    <w:rsid w:val="008D5572"/>
    <w:rsid w:val="008D5953"/>
    <w:rsid w:val="008E1A36"/>
    <w:rsid w:val="008E2296"/>
    <w:rsid w:val="008E38E6"/>
    <w:rsid w:val="008E48AE"/>
    <w:rsid w:val="008F0677"/>
    <w:rsid w:val="008F5B44"/>
    <w:rsid w:val="008F6069"/>
    <w:rsid w:val="008F7B42"/>
    <w:rsid w:val="00902E99"/>
    <w:rsid w:val="00903326"/>
    <w:rsid w:val="00903F28"/>
    <w:rsid w:val="009045AA"/>
    <w:rsid w:val="00904AE8"/>
    <w:rsid w:val="00905552"/>
    <w:rsid w:val="00911ED5"/>
    <w:rsid w:val="00915C51"/>
    <w:rsid w:val="00917854"/>
    <w:rsid w:val="00920650"/>
    <w:rsid w:val="009215A7"/>
    <w:rsid w:val="00922AD1"/>
    <w:rsid w:val="009254CA"/>
    <w:rsid w:val="009275D7"/>
    <w:rsid w:val="00935820"/>
    <w:rsid w:val="00936BDE"/>
    <w:rsid w:val="00936C15"/>
    <w:rsid w:val="0094128E"/>
    <w:rsid w:val="009414ED"/>
    <w:rsid w:val="009428FF"/>
    <w:rsid w:val="009437F9"/>
    <w:rsid w:val="00943EC5"/>
    <w:rsid w:val="009459E0"/>
    <w:rsid w:val="009517A6"/>
    <w:rsid w:val="0095682C"/>
    <w:rsid w:val="00957EFA"/>
    <w:rsid w:val="00960331"/>
    <w:rsid w:val="00962EE6"/>
    <w:rsid w:val="0096569F"/>
    <w:rsid w:val="0096612F"/>
    <w:rsid w:val="00970C89"/>
    <w:rsid w:val="00971C24"/>
    <w:rsid w:val="0097346C"/>
    <w:rsid w:val="00973895"/>
    <w:rsid w:val="00974403"/>
    <w:rsid w:val="009751D8"/>
    <w:rsid w:val="00975A23"/>
    <w:rsid w:val="0097600C"/>
    <w:rsid w:val="00983EAB"/>
    <w:rsid w:val="009859C8"/>
    <w:rsid w:val="00987163"/>
    <w:rsid w:val="00990E1C"/>
    <w:rsid w:val="00993739"/>
    <w:rsid w:val="00994D29"/>
    <w:rsid w:val="009A0001"/>
    <w:rsid w:val="009A2054"/>
    <w:rsid w:val="009A4F8B"/>
    <w:rsid w:val="009B0321"/>
    <w:rsid w:val="009B266E"/>
    <w:rsid w:val="009B37BC"/>
    <w:rsid w:val="009B47EA"/>
    <w:rsid w:val="009B560F"/>
    <w:rsid w:val="009B6565"/>
    <w:rsid w:val="009C2358"/>
    <w:rsid w:val="009C27F0"/>
    <w:rsid w:val="009C3114"/>
    <w:rsid w:val="009C5BCC"/>
    <w:rsid w:val="009D24D4"/>
    <w:rsid w:val="009D35D2"/>
    <w:rsid w:val="009E0A6E"/>
    <w:rsid w:val="009E3451"/>
    <w:rsid w:val="009E485D"/>
    <w:rsid w:val="009E49D3"/>
    <w:rsid w:val="009F09FD"/>
    <w:rsid w:val="009F10A1"/>
    <w:rsid w:val="009F1650"/>
    <w:rsid w:val="009F4912"/>
    <w:rsid w:val="009F7412"/>
    <w:rsid w:val="00A02EEF"/>
    <w:rsid w:val="00A03469"/>
    <w:rsid w:val="00A0356D"/>
    <w:rsid w:val="00A035B4"/>
    <w:rsid w:val="00A05025"/>
    <w:rsid w:val="00A0503E"/>
    <w:rsid w:val="00A07C01"/>
    <w:rsid w:val="00A1205F"/>
    <w:rsid w:val="00A124B9"/>
    <w:rsid w:val="00A16383"/>
    <w:rsid w:val="00A23016"/>
    <w:rsid w:val="00A24407"/>
    <w:rsid w:val="00A268E2"/>
    <w:rsid w:val="00A305FF"/>
    <w:rsid w:val="00A30FD2"/>
    <w:rsid w:val="00A32BAE"/>
    <w:rsid w:val="00A3352E"/>
    <w:rsid w:val="00A35BB0"/>
    <w:rsid w:val="00A35D11"/>
    <w:rsid w:val="00A369A4"/>
    <w:rsid w:val="00A404BD"/>
    <w:rsid w:val="00A40A5B"/>
    <w:rsid w:val="00A45909"/>
    <w:rsid w:val="00A4730C"/>
    <w:rsid w:val="00A47B82"/>
    <w:rsid w:val="00A5273A"/>
    <w:rsid w:val="00A53062"/>
    <w:rsid w:val="00A5347C"/>
    <w:rsid w:val="00A5426A"/>
    <w:rsid w:val="00A558D2"/>
    <w:rsid w:val="00A572D6"/>
    <w:rsid w:val="00A646D7"/>
    <w:rsid w:val="00A66950"/>
    <w:rsid w:val="00A67D3C"/>
    <w:rsid w:val="00A70746"/>
    <w:rsid w:val="00A72B69"/>
    <w:rsid w:val="00A736AF"/>
    <w:rsid w:val="00A74973"/>
    <w:rsid w:val="00A7497B"/>
    <w:rsid w:val="00A75B7E"/>
    <w:rsid w:val="00A761C3"/>
    <w:rsid w:val="00A768D0"/>
    <w:rsid w:val="00A80AED"/>
    <w:rsid w:val="00A812B3"/>
    <w:rsid w:val="00A83FDB"/>
    <w:rsid w:val="00A85E9B"/>
    <w:rsid w:val="00A87768"/>
    <w:rsid w:val="00A90A06"/>
    <w:rsid w:val="00A95110"/>
    <w:rsid w:val="00A966EE"/>
    <w:rsid w:val="00A968BA"/>
    <w:rsid w:val="00AA3F0A"/>
    <w:rsid w:val="00AA638D"/>
    <w:rsid w:val="00AB3248"/>
    <w:rsid w:val="00AB7267"/>
    <w:rsid w:val="00AB731C"/>
    <w:rsid w:val="00AC09B0"/>
    <w:rsid w:val="00AC103C"/>
    <w:rsid w:val="00AC71BC"/>
    <w:rsid w:val="00AC7958"/>
    <w:rsid w:val="00AD13C4"/>
    <w:rsid w:val="00AD6A1C"/>
    <w:rsid w:val="00AD7E13"/>
    <w:rsid w:val="00AE2378"/>
    <w:rsid w:val="00AE3F0A"/>
    <w:rsid w:val="00AE3FEA"/>
    <w:rsid w:val="00AE45DB"/>
    <w:rsid w:val="00AE554A"/>
    <w:rsid w:val="00AE6B55"/>
    <w:rsid w:val="00AE6C27"/>
    <w:rsid w:val="00AE746D"/>
    <w:rsid w:val="00AF035C"/>
    <w:rsid w:val="00AF1071"/>
    <w:rsid w:val="00AF1ED1"/>
    <w:rsid w:val="00AF7217"/>
    <w:rsid w:val="00B02F02"/>
    <w:rsid w:val="00B051B5"/>
    <w:rsid w:val="00B0779C"/>
    <w:rsid w:val="00B131D5"/>
    <w:rsid w:val="00B1681E"/>
    <w:rsid w:val="00B177AF"/>
    <w:rsid w:val="00B20501"/>
    <w:rsid w:val="00B206F6"/>
    <w:rsid w:val="00B20783"/>
    <w:rsid w:val="00B22E0C"/>
    <w:rsid w:val="00B23AF6"/>
    <w:rsid w:val="00B27550"/>
    <w:rsid w:val="00B30F9A"/>
    <w:rsid w:val="00B31649"/>
    <w:rsid w:val="00B369C0"/>
    <w:rsid w:val="00B37EDC"/>
    <w:rsid w:val="00B44DD5"/>
    <w:rsid w:val="00B45285"/>
    <w:rsid w:val="00B46F38"/>
    <w:rsid w:val="00B4717E"/>
    <w:rsid w:val="00B476D5"/>
    <w:rsid w:val="00B53BA6"/>
    <w:rsid w:val="00B57496"/>
    <w:rsid w:val="00B61A76"/>
    <w:rsid w:val="00B62AEC"/>
    <w:rsid w:val="00B662BA"/>
    <w:rsid w:val="00B666D0"/>
    <w:rsid w:val="00B674F7"/>
    <w:rsid w:val="00B67672"/>
    <w:rsid w:val="00B71661"/>
    <w:rsid w:val="00B72132"/>
    <w:rsid w:val="00B728AD"/>
    <w:rsid w:val="00B738AB"/>
    <w:rsid w:val="00B75046"/>
    <w:rsid w:val="00B7725C"/>
    <w:rsid w:val="00B7799B"/>
    <w:rsid w:val="00B77C41"/>
    <w:rsid w:val="00B81669"/>
    <w:rsid w:val="00B81A43"/>
    <w:rsid w:val="00B83DE4"/>
    <w:rsid w:val="00B84957"/>
    <w:rsid w:val="00B87109"/>
    <w:rsid w:val="00B907B5"/>
    <w:rsid w:val="00B97CA2"/>
    <w:rsid w:val="00BA171F"/>
    <w:rsid w:val="00BA257A"/>
    <w:rsid w:val="00BA5134"/>
    <w:rsid w:val="00BA515B"/>
    <w:rsid w:val="00BA6377"/>
    <w:rsid w:val="00BA6DA0"/>
    <w:rsid w:val="00BB22B3"/>
    <w:rsid w:val="00BB7981"/>
    <w:rsid w:val="00BC294E"/>
    <w:rsid w:val="00BC37CF"/>
    <w:rsid w:val="00BC5961"/>
    <w:rsid w:val="00BC5F53"/>
    <w:rsid w:val="00BC78C6"/>
    <w:rsid w:val="00BD19B7"/>
    <w:rsid w:val="00BE0046"/>
    <w:rsid w:val="00BE0EC4"/>
    <w:rsid w:val="00BE1A1B"/>
    <w:rsid w:val="00BE6447"/>
    <w:rsid w:val="00BF275E"/>
    <w:rsid w:val="00BF2D09"/>
    <w:rsid w:val="00BF6CE6"/>
    <w:rsid w:val="00C00A04"/>
    <w:rsid w:val="00C01D97"/>
    <w:rsid w:val="00C021AB"/>
    <w:rsid w:val="00C05739"/>
    <w:rsid w:val="00C073AE"/>
    <w:rsid w:val="00C07F6B"/>
    <w:rsid w:val="00C14FFF"/>
    <w:rsid w:val="00C15176"/>
    <w:rsid w:val="00C161AE"/>
    <w:rsid w:val="00C22D35"/>
    <w:rsid w:val="00C2415E"/>
    <w:rsid w:val="00C2506B"/>
    <w:rsid w:val="00C26A63"/>
    <w:rsid w:val="00C2746D"/>
    <w:rsid w:val="00C27845"/>
    <w:rsid w:val="00C32B01"/>
    <w:rsid w:val="00C37063"/>
    <w:rsid w:val="00C3710A"/>
    <w:rsid w:val="00C403F4"/>
    <w:rsid w:val="00C40AAB"/>
    <w:rsid w:val="00C40E89"/>
    <w:rsid w:val="00C42216"/>
    <w:rsid w:val="00C42F11"/>
    <w:rsid w:val="00C472A1"/>
    <w:rsid w:val="00C475D0"/>
    <w:rsid w:val="00C515E4"/>
    <w:rsid w:val="00C52947"/>
    <w:rsid w:val="00C52E2A"/>
    <w:rsid w:val="00C64B16"/>
    <w:rsid w:val="00C65A45"/>
    <w:rsid w:val="00C65BBF"/>
    <w:rsid w:val="00C669E0"/>
    <w:rsid w:val="00C67367"/>
    <w:rsid w:val="00C73237"/>
    <w:rsid w:val="00C74461"/>
    <w:rsid w:val="00C757C2"/>
    <w:rsid w:val="00C758CB"/>
    <w:rsid w:val="00C764D4"/>
    <w:rsid w:val="00C76D9F"/>
    <w:rsid w:val="00C8145B"/>
    <w:rsid w:val="00C81D92"/>
    <w:rsid w:val="00C84031"/>
    <w:rsid w:val="00C846FE"/>
    <w:rsid w:val="00C85F4A"/>
    <w:rsid w:val="00C87206"/>
    <w:rsid w:val="00C87434"/>
    <w:rsid w:val="00C906FF"/>
    <w:rsid w:val="00C90F72"/>
    <w:rsid w:val="00C92413"/>
    <w:rsid w:val="00C924A1"/>
    <w:rsid w:val="00C965D2"/>
    <w:rsid w:val="00C974D7"/>
    <w:rsid w:val="00CA0888"/>
    <w:rsid w:val="00CA0FAC"/>
    <w:rsid w:val="00CA1AA6"/>
    <w:rsid w:val="00CA3390"/>
    <w:rsid w:val="00CA5B11"/>
    <w:rsid w:val="00CA667A"/>
    <w:rsid w:val="00CC07EE"/>
    <w:rsid w:val="00CC13EF"/>
    <w:rsid w:val="00CC703D"/>
    <w:rsid w:val="00CC7B1C"/>
    <w:rsid w:val="00CD04D2"/>
    <w:rsid w:val="00CD25F9"/>
    <w:rsid w:val="00CD51ED"/>
    <w:rsid w:val="00CE086C"/>
    <w:rsid w:val="00CE167A"/>
    <w:rsid w:val="00CE52B1"/>
    <w:rsid w:val="00CE6DEA"/>
    <w:rsid w:val="00CE7033"/>
    <w:rsid w:val="00CE7ECB"/>
    <w:rsid w:val="00CF2076"/>
    <w:rsid w:val="00CF4C68"/>
    <w:rsid w:val="00CF7DA5"/>
    <w:rsid w:val="00D0559B"/>
    <w:rsid w:val="00D10614"/>
    <w:rsid w:val="00D1225B"/>
    <w:rsid w:val="00D126D1"/>
    <w:rsid w:val="00D13D7E"/>
    <w:rsid w:val="00D158E1"/>
    <w:rsid w:val="00D15BC4"/>
    <w:rsid w:val="00D164B3"/>
    <w:rsid w:val="00D17E7C"/>
    <w:rsid w:val="00D20FE8"/>
    <w:rsid w:val="00D21D73"/>
    <w:rsid w:val="00D2315A"/>
    <w:rsid w:val="00D2664D"/>
    <w:rsid w:val="00D27119"/>
    <w:rsid w:val="00D27FFB"/>
    <w:rsid w:val="00D30FD5"/>
    <w:rsid w:val="00D35429"/>
    <w:rsid w:val="00D356F8"/>
    <w:rsid w:val="00D3677B"/>
    <w:rsid w:val="00D36A87"/>
    <w:rsid w:val="00D37E42"/>
    <w:rsid w:val="00D425F2"/>
    <w:rsid w:val="00D42752"/>
    <w:rsid w:val="00D4342A"/>
    <w:rsid w:val="00D43C4F"/>
    <w:rsid w:val="00D44068"/>
    <w:rsid w:val="00D443F5"/>
    <w:rsid w:val="00D44FB3"/>
    <w:rsid w:val="00D50FF0"/>
    <w:rsid w:val="00D51F35"/>
    <w:rsid w:val="00D53747"/>
    <w:rsid w:val="00D5651D"/>
    <w:rsid w:val="00D5725C"/>
    <w:rsid w:val="00D66537"/>
    <w:rsid w:val="00D73264"/>
    <w:rsid w:val="00D74235"/>
    <w:rsid w:val="00D86A36"/>
    <w:rsid w:val="00D90CAD"/>
    <w:rsid w:val="00D92BBC"/>
    <w:rsid w:val="00D93647"/>
    <w:rsid w:val="00D93D0D"/>
    <w:rsid w:val="00D94031"/>
    <w:rsid w:val="00DA1FA3"/>
    <w:rsid w:val="00DA4C96"/>
    <w:rsid w:val="00DA589B"/>
    <w:rsid w:val="00DA616A"/>
    <w:rsid w:val="00DA6B60"/>
    <w:rsid w:val="00DA734F"/>
    <w:rsid w:val="00DA7C36"/>
    <w:rsid w:val="00DB2D09"/>
    <w:rsid w:val="00DB4D70"/>
    <w:rsid w:val="00DB7C91"/>
    <w:rsid w:val="00DC06D9"/>
    <w:rsid w:val="00DC0E09"/>
    <w:rsid w:val="00DC25FD"/>
    <w:rsid w:val="00DC2D03"/>
    <w:rsid w:val="00DC477C"/>
    <w:rsid w:val="00DC71C6"/>
    <w:rsid w:val="00DC7A9D"/>
    <w:rsid w:val="00DC7E09"/>
    <w:rsid w:val="00DD1729"/>
    <w:rsid w:val="00DD24BD"/>
    <w:rsid w:val="00DD3317"/>
    <w:rsid w:val="00DD3B24"/>
    <w:rsid w:val="00DD5481"/>
    <w:rsid w:val="00DD5CBA"/>
    <w:rsid w:val="00DD77F0"/>
    <w:rsid w:val="00DD7948"/>
    <w:rsid w:val="00DD7C30"/>
    <w:rsid w:val="00DE2AA5"/>
    <w:rsid w:val="00DE2C6E"/>
    <w:rsid w:val="00DE3AB8"/>
    <w:rsid w:val="00DE54BB"/>
    <w:rsid w:val="00DF0E47"/>
    <w:rsid w:val="00DF4C94"/>
    <w:rsid w:val="00DF4DBC"/>
    <w:rsid w:val="00DF7924"/>
    <w:rsid w:val="00DF7B52"/>
    <w:rsid w:val="00E0126F"/>
    <w:rsid w:val="00E04F66"/>
    <w:rsid w:val="00E066B3"/>
    <w:rsid w:val="00E067BC"/>
    <w:rsid w:val="00E07DBB"/>
    <w:rsid w:val="00E10AFE"/>
    <w:rsid w:val="00E12A36"/>
    <w:rsid w:val="00E13A68"/>
    <w:rsid w:val="00E149EA"/>
    <w:rsid w:val="00E20689"/>
    <w:rsid w:val="00E256EF"/>
    <w:rsid w:val="00E31B64"/>
    <w:rsid w:val="00E35FF9"/>
    <w:rsid w:val="00E40BDD"/>
    <w:rsid w:val="00E41A8C"/>
    <w:rsid w:val="00E44C05"/>
    <w:rsid w:val="00E44ECF"/>
    <w:rsid w:val="00E45C31"/>
    <w:rsid w:val="00E461C7"/>
    <w:rsid w:val="00E46241"/>
    <w:rsid w:val="00E472EE"/>
    <w:rsid w:val="00E50878"/>
    <w:rsid w:val="00E5122E"/>
    <w:rsid w:val="00E53AED"/>
    <w:rsid w:val="00E53D46"/>
    <w:rsid w:val="00E54EE6"/>
    <w:rsid w:val="00E5518E"/>
    <w:rsid w:val="00E5704B"/>
    <w:rsid w:val="00E62C6A"/>
    <w:rsid w:val="00E7234C"/>
    <w:rsid w:val="00E72900"/>
    <w:rsid w:val="00E73686"/>
    <w:rsid w:val="00E73FA1"/>
    <w:rsid w:val="00E7409E"/>
    <w:rsid w:val="00E75090"/>
    <w:rsid w:val="00E76D0E"/>
    <w:rsid w:val="00E771A7"/>
    <w:rsid w:val="00E77277"/>
    <w:rsid w:val="00E772EC"/>
    <w:rsid w:val="00E80427"/>
    <w:rsid w:val="00E8060D"/>
    <w:rsid w:val="00E85295"/>
    <w:rsid w:val="00E95B52"/>
    <w:rsid w:val="00E97CB5"/>
    <w:rsid w:val="00EA0417"/>
    <w:rsid w:val="00EA5002"/>
    <w:rsid w:val="00EA6872"/>
    <w:rsid w:val="00EA6B47"/>
    <w:rsid w:val="00EB1195"/>
    <w:rsid w:val="00EB223C"/>
    <w:rsid w:val="00EB440D"/>
    <w:rsid w:val="00EB4B55"/>
    <w:rsid w:val="00EB4C88"/>
    <w:rsid w:val="00EB6372"/>
    <w:rsid w:val="00EB796B"/>
    <w:rsid w:val="00EB7D94"/>
    <w:rsid w:val="00EC15F0"/>
    <w:rsid w:val="00EC1633"/>
    <w:rsid w:val="00EC37E3"/>
    <w:rsid w:val="00EC5299"/>
    <w:rsid w:val="00EC69E8"/>
    <w:rsid w:val="00EC72C4"/>
    <w:rsid w:val="00ED1ECF"/>
    <w:rsid w:val="00ED3649"/>
    <w:rsid w:val="00ED5206"/>
    <w:rsid w:val="00EE0481"/>
    <w:rsid w:val="00EE0E5E"/>
    <w:rsid w:val="00EE1144"/>
    <w:rsid w:val="00EE22B6"/>
    <w:rsid w:val="00EE2DE9"/>
    <w:rsid w:val="00EE5329"/>
    <w:rsid w:val="00EE71EB"/>
    <w:rsid w:val="00EE76C1"/>
    <w:rsid w:val="00EF3B76"/>
    <w:rsid w:val="00EF3E03"/>
    <w:rsid w:val="00EF5941"/>
    <w:rsid w:val="00F003DD"/>
    <w:rsid w:val="00F01E2F"/>
    <w:rsid w:val="00F06F3B"/>
    <w:rsid w:val="00F10B45"/>
    <w:rsid w:val="00F126B3"/>
    <w:rsid w:val="00F13B66"/>
    <w:rsid w:val="00F13D85"/>
    <w:rsid w:val="00F15173"/>
    <w:rsid w:val="00F1683D"/>
    <w:rsid w:val="00F1727B"/>
    <w:rsid w:val="00F21FE6"/>
    <w:rsid w:val="00F24600"/>
    <w:rsid w:val="00F25CC7"/>
    <w:rsid w:val="00F30A97"/>
    <w:rsid w:val="00F3295D"/>
    <w:rsid w:val="00F33FCC"/>
    <w:rsid w:val="00F37F03"/>
    <w:rsid w:val="00F42EB9"/>
    <w:rsid w:val="00F44BF9"/>
    <w:rsid w:val="00F454BD"/>
    <w:rsid w:val="00F47F8C"/>
    <w:rsid w:val="00F51DB0"/>
    <w:rsid w:val="00F523E6"/>
    <w:rsid w:val="00F52B98"/>
    <w:rsid w:val="00F53E27"/>
    <w:rsid w:val="00F5718C"/>
    <w:rsid w:val="00F601D5"/>
    <w:rsid w:val="00F609E1"/>
    <w:rsid w:val="00F61204"/>
    <w:rsid w:val="00F6338C"/>
    <w:rsid w:val="00F64933"/>
    <w:rsid w:val="00F6601F"/>
    <w:rsid w:val="00F70D36"/>
    <w:rsid w:val="00F73BC9"/>
    <w:rsid w:val="00F73DAF"/>
    <w:rsid w:val="00F809C7"/>
    <w:rsid w:val="00F80B91"/>
    <w:rsid w:val="00F84656"/>
    <w:rsid w:val="00F8486E"/>
    <w:rsid w:val="00F859DC"/>
    <w:rsid w:val="00F8709D"/>
    <w:rsid w:val="00F87EED"/>
    <w:rsid w:val="00F940CE"/>
    <w:rsid w:val="00F943BB"/>
    <w:rsid w:val="00F94E17"/>
    <w:rsid w:val="00F95003"/>
    <w:rsid w:val="00FA30C8"/>
    <w:rsid w:val="00FA4212"/>
    <w:rsid w:val="00FA70C3"/>
    <w:rsid w:val="00FB4899"/>
    <w:rsid w:val="00FB4EB0"/>
    <w:rsid w:val="00FB60C5"/>
    <w:rsid w:val="00FC434A"/>
    <w:rsid w:val="00FC4776"/>
    <w:rsid w:val="00FD2964"/>
    <w:rsid w:val="00FD2D23"/>
    <w:rsid w:val="00FD3989"/>
    <w:rsid w:val="00FD4FA6"/>
    <w:rsid w:val="00FD5B62"/>
    <w:rsid w:val="00FD5FC9"/>
    <w:rsid w:val="00FD604B"/>
    <w:rsid w:val="00FD668E"/>
    <w:rsid w:val="00FE211E"/>
    <w:rsid w:val="00FE3538"/>
    <w:rsid w:val="00FE3F0C"/>
    <w:rsid w:val="00FE5730"/>
    <w:rsid w:val="00FE59C4"/>
    <w:rsid w:val="00FF0E6D"/>
    <w:rsid w:val="00FF4262"/>
    <w:rsid w:val="00FF55EC"/>
    <w:rsid w:val="00FF5782"/>
    <w:rsid w:val="00FF5C58"/>
    <w:rsid w:val="00FF6DB1"/>
    <w:rsid w:val="09398B10"/>
    <w:rsid w:val="36D39C15"/>
    <w:rsid w:val="436264B2"/>
    <w:rsid w:val="5BDA7D79"/>
    <w:rsid w:val="6AD09A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4E03"/>
  <w15:docId w15:val="{581177AB-F0D0-47BB-9AC8-1E40AC6E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16369D"/>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093EF5"/>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884FF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093EF5"/>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16369D"/>
    <w:rPr>
      <w:rFonts w:ascii="Arial" w:hAnsi="Arial" w:cs="Arial"/>
      <w:b/>
      <w:bCs/>
      <w:color w:val="005EB8"/>
      <w:kern w:val="28"/>
      <w:sz w:val="80"/>
      <w:szCs w:val="32"/>
      <w14:ligatures w14:val="standardContextual"/>
    </w:rPr>
  </w:style>
  <w:style w:type="paragraph" w:styleId="ListParagraph">
    <w:name w:val="List Paragraph"/>
    <w:aliases w:val="Num.,Dot pt,No Spacing1,List Paragraph Char Char Char,Indicator Text,List Paragraph1,Numbered Para 1,List Paragraph12,Bullet Points,MAIN CONTENT,Bullet 1,Colorful List - Accent 11,F5 List Paragraph,Evidence on Demand bullet points,Bullets"/>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884FF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0840C2"/>
    <w:pPr>
      <w:framePr w:hSpace="180" w:wrap="around" w:vAnchor="text" w:hAnchor="margin" w:yAlign="bottom"/>
      <w:autoSpaceDE w:val="0"/>
      <w:autoSpaceDN w:val="0"/>
      <w:adjustRightInd w:val="0"/>
      <w:spacing w:after="50"/>
      <w:ind w:firstLine="0"/>
      <w:textboxTightWrap w:val="none"/>
    </w:pPr>
    <w:rPr>
      <w:rFonts w:cs="Arial"/>
      <w:color w:val="auto"/>
      <w:szCs w:val="22"/>
      <w:lang w:eastAsia="en-GB"/>
    </w:rPr>
  </w:style>
  <w:style w:type="character" w:customStyle="1" w:styleId="BulletlistChar">
    <w:name w:val="Bullet list Char"/>
    <w:basedOn w:val="DefaultParagraphFont"/>
    <w:link w:val="Bulletlist"/>
    <w:uiPriority w:val="10"/>
    <w:rsid w:val="000840C2"/>
    <w:rPr>
      <w:rFonts w:ascii="Arial" w:hAnsi="Arial" w:cs="Arial"/>
      <w:sz w:val="24"/>
      <w:szCs w:val="22"/>
      <w:lang w:eastAsia="en-GB"/>
    </w:rPr>
  </w:style>
  <w:style w:type="paragraph" w:customStyle="1" w:styleId="Footnote-hanging">
    <w:name w:val="Footnote - hanging"/>
    <w:basedOn w:val="Bulletlist"/>
    <w:link w:val="Footnote-hangingChar"/>
    <w:uiPriority w:val="12"/>
    <w:semiHidden/>
    <w:rsid w:val="00C15176"/>
    <w:pPr>
      <w:framePr w:wrap="around"/>
      <w:tabs>
        <w:tab w:val="left" w:pos="284"/>
      </w:tabs>
      <w:spacing w:after="60" w:line="276" w:lineRule="auto"/>
      <w:ind w:left="284" w:hanging="284"/>
    </w:pPr>
    <w:rPr>
      <w:color w:val="1E6DFF" w:themeColor="accent1" w:themeTint="99"/>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b w:val="0"/>
      <w:bCs w:val="0"/>
      <w:i w:val="0"/>
      <w:iCs w:val="0"/>
      <w:color w:val="000000"/>
      <w:sz w:val="24"/>
      <w:szCs w:val="18"/>
      <w:lang w:eastAsia="en-GB"/>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A70746"/>
    <w:pPr>
      <w:tabs>
        <w:tab w:val="right" w:pos="9854"/>
      </w:tabs>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Num. Char,Dot pt Char,No Spacing1 Char,List Paragraph Char Char Char Char,Indicator Text Char,List Paragraph1 Char,Numbered Para 1 Char,List Paragraph12 Char,Bullet Points Char,MAIN CONTENT Char,Bullet 1 Char,F5 List Paragraph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ListBullet">
    <w:name w:val="List Bullet"/>
    <w:basedOn w:val="BodyText"/>
    <w:uiPriority w:val="14"/>
    <w:qFormat/>
    <w:rsid w:val="008800E2"/>
    <w:pPr>
      <w:numPr>
        <w:numId w:val="4"/>
      </w:numPr>
      <w:tabs>
        <w:tab w:val="clear" w:pos="2716"/>
        <w:tab w:val="num" w:pos="360"/>
      </w:tabs>
      <w:spacing w:after="50"/>
      <w:ind w:left="0" w:firstLine="0"/>
      <w:textboxTightWrap w:val="none"/>
    </w:pPr>
    <w:rPr>
      <w:rFonts w:eastAsiaTheme="minorHAnsi" w:cstheme="minorBidi"/>
      <w:color w:val="231F20"/>
    </w:rPr>
  </w:style>
  <w:style w:type="paragraph" w:styleId="ListBullet2">
    <w:name w:val="List Bullet 2"/>
    <w:basedOn w:val="BodyText"/>
    <w:uiPriority w:val="14"/>
    <w:qFormat/>
    <w:rsid w:val="008800E2"/>
    <w:pPr>
      <w:numPr>
        <w:ilvl w:val="1"/>
        <w:numId w:val="4"/>
      </w:numPr>
      <w:tabs>
        <w:tab w:val="clear" w:pos="2574"/>
        <w:tab w:val="num" w:pos="360"/>
      </w:tabs>
      <w:spacing w:after="50"/>
      <w:ind w:left="0" w:firstLine="0"/>
      <w:textboxTightWrap w:val="none"/>
    </w:pPr>
    <w:rPr>
      <w:rFonts w:eastAsiaTheme="minorHAnsi" w:cstheme="minorBidi"/>
      <w:color w:val="231F20"/>
    </w:rPr>
  </w:style>
  <w:style w:type="paragraph" w:styleId="ListBullet3">
    <w:name w:val="List Bullet 3"/>
    <w:basedOn w:val="BodyText"/>
    <w:uiPriority w:val="99"/>
    <w:semiHidden/>
    <w:qFormat/>
    <w:rsid w:val="008800E2"/>
    <w:pPr>
      <w:numPr>
        <w:ilvl w:val="2"/>
        <w:numId w:val="4"/>
      </w:numPr>
      <w:tabs>
        <w:tab w:val="clear" w:pos="2512"/>
        <w:tab w:val="num" w:pos="360"/>
      </w:tabs>
      <w:spacing w:after="280"/>
      <w:ind w:left="0" w:firstLine="0"/>
      <w:contextualSpacing/>
      <w:textboxTightWrap w:val="none"/>
    </w:pPr>
    <w:rPr>
      <w:rFonts w:eastAsiaTheme="minorHAnsi" w:cstheme="minorBidi"/>
      <w:color w:val="231F20"/>
    </w:rPr>
  </w:style>
  <w:style w:type="paragraph" w:styleId="ListBullet4">
    <w:name w:val="List Bullet 4"/>
    <w:basedOn w:val="BodyText"/>
    <w:uiPriority w:val="99"/>
    <w:semiHidden/>
    <w:rsid w:val="008800E2"/>
    <w:pPr>
      <w:numPr>
        <w:ilvl w:val="3"/>
        <w:numId w:val="4"/>
      </w:numPr>
      <w:tabs>
        <w:tab w:val="clear" w:pos="2869"/>
        <w:tab w:val="num" w:pos="360"/>
      </w:tabs>
      <w:spacing w:after="280"/>
      <w:ind w:left="0" w:firstLine="0"/>
      <w:contextualSpacing/>
      <w:textboxTightWrap w:val="none"/>
    </w:pPr>
    <w:rPr>
      <w:rFonts w:eastAsiaTheme="minorHAnsi" w:cstheme="minorBidi"/>
      <w:color w:val="231F20"/>
    </w:rPr>
  </w:style>
  <w:style w:type="paragraph" w:styleId="ListBullet5">
    <w:name w:val="List Bullet 5"/>
    <w:basedOn w:val="BodyText"/>
    <w:uiPriority w:val="99"/>
    <w:semiHidden/>
    <w:rsid w:val="008800E2"/>
    <w:pPr>
      <w:numPr>
        <w:ilvl w:val="4"/>
        <w:numId w:val="4"/>
      </w:numPr>
      <w:tabs>
        <w:tab w:val="clear" w:pos="3226"/>
        <w:tab w:val="num" w:pos="360"/>
      </w:tabs>
      <w:spacing w:after="280"/>
      <w:ind w:left="0" w:firstLine="0"/>
      <w:contextualSpacing/>
      <w:textboxTightWrap w:val="none"/>
    </w:pPr>
    <w:rPr>
      <w:rFonts w:eastAsiaTheme="minorHAnsi" w:cstheme="minorBidi"/>
      <w:color w:val="231F20"/>
    </w:rPr>
  </w:style>
  <w:style w:type="numbering" w:customStyle="1" w:styleId="NHSBullets">
    <w:name w:val="NHS Bullets"/>
    <w:basedOn w:val="NoList"/>
    <w:uiPriority w:val="99"/>
    <w:rsid w:val="008800E2"/>
    <w:pPr>
      <w:numPr>
        <w:numId w:val="5"/>
      </w:numPr>
    </w:pPr>
  </w:style>
  <w:style w:type="paragraph" w:styleId="BodyText">
    <w:name w:val="Body Text"/>
    <w:basedOn w:val="Normal"/>
    <w:link w:val="BodyTextChar"/>
    <w:uiPriority w:val="99"/>
    <w:semiHidden/>
    <w:unhideWhenUsed/>
    <w:rsid w:val="008800E2"/>
    <w:pPr>
      <w:spacing w:after="120"/>
    </w:pPr>
  </w:style>
  <w:style w:type="character" w:customStyle="1" w:styleId="BodyTextChar">
    <w:name w:val="Body Text Char"/>
    <w:basedOn w:val="DefaultParagraphFont"/>
    <w:link w:val="BodyText"/>
    <w:uiPriority w:val="99"/>
    <w:semiHidden/>
    <w:rsid w:val="008800E2"/>
    <w:rPr>
      <w:rFonts w:ascii="Arial" w:hAnsi="Arial"/>
      <w:color w:val="000000"/>
      <w:sz w:val="24"/>
      <w:szCs w:val="24"/>
    </w:rPr>
  </w:style>
  <w:style w:type="paragraph" w:styleId="Revision">
    <w:name w:val="Revision"/>
    <w:hidden/>
    <w:uiPriority w:val="99"/>
    <w:semiHidden/>
    <w:rsid w:val="00827D2F"/>
    <w:rPr>
      <w:rFonts w:ascii="Arial" w:hAnsi="Arial"/>
      <w:color w:val="000000"/>
      <w:sz w:val="24"/>
      <w:szCs w:val="24"/>
    </w:rPr>
  </w:style>
  <w:style w:type="character" w:styleId="FollowedHyperlink">
    <w:name w:val="FollowedHyperlink"/>
    <w:basedOn w:val="DefaultParagraphFont"/>
    <w:uiPriority w:val="99"/>
    <w:semiHidden/>
    <w:unhideWhenUsed/>
    <w:rsid w:val="003B60D0"/>
    <w:rPr>
      <w:color w:val="003087" w:themeColor="followedHyperlink"/>
      <w:u w:val="single"/>
    </w:rPr>
  </w:style>
  <w:style w:type="character" w:styleId="UnresolvedMention">
    <w:name w:val="Unresolved Mention"/>
    <w:basedOn w:val="DefaultParagraphFont"/>
    <w:uiPriority w:val="99"/>
    <w:semiHidden/>
    <w:unhideWhenUsed/>
    <w:rsid w:val="0096612F"/>
    <w:rPr>
      <w:color w:val="605E5C"/>
      <w:shd w:val="clear" w:color="auto" w:fill="E1DFDD"/>
    </w:rPr>
  </w:style>
  <w:style w:type="character" w:customStyle="1" w:styleId="cf01">
    <w:name w:val="cf01"/>
    <w:basedOn w:val="DefaultParagraphFont"/>
    <w:rsid w:val="0051722D"/>
    <w:rPr>
      <w:rFonts w:ascii="Segoe UI" w:hAnsi="Segoe UI" w:cs="Segoe UI" w:hint="default"/>
      <w:sz w:val="18"/>
      <w:szCs w:val="18"/>
    </w:rPr>
  </w:style>
  <w:style w:type="paragraph" w:styleId="PlainText">
    <w:name w:val="Plain Text"/>
    <w:basedOn w:val="Normal"/>
    <w:link w:val="PlainTextChar"/>
    <w:uiPriority w:val="99"/>
    <w:unhideWhenUsed/>
    <w:rsid w:val="0049494F"/>
    <w:pPr>
      <w:spacing w:after="0" w:line="240" w:lineRule="auto"/>
      <w:textboxTightWrap w:val="none"/>
    </w:pPr>
    <w:rPr>
      <w:rFonts w:ascii="Calibri" w:eastAsia="Calibri" w:hAnsi="Calibri"/>
      <w:color w:val="auto"/>
      <w:sz w:val="22"/>
      <w:szCs w:val="21"/>
    </w:rPr>
  </w:style>
  <w:style w:type="character" w:customStyle="1" w:styleId="PlainTextChar">
    <w:name w:val="Plain Text Char"/>
    <w:basedOn w:val="DefaultParagraphFont"/>
    <w:link w:val="PlainText"/>
    <w:uiPriority w:val="99"/>
    <w:rsid w:val="0049494F"/>
    <w:rPr>
      <w:rFonts w:ascii="Calibri" w:eastAsia="Calibri" w:hAnsi="Calibri"/>
      <w:sz w:val="22"/>
      <w:szCs w:val="21"/>
    </w:rPr>
  </w:style>
  <w:style w:type="paragraph" w:customStyle="1" w:styleId="xmsonormal">
    <w:name w:val="x_msonormal"/>
    <w:basedOn w:val="Normal"/>
    <w:rsid w:val="00364E2C"/>
    <w:pPr>
      <w:spacing w:after="0" w:line="240" w:lineRule="auto"/>
      <w:textboxTightWrap w:val="none"/>
    </w:pPr>
    <w:rPr>
      <w:rFonts w:ascii="Calibri" w:eastAsiaTheme="minorHAnsi" w:hAnsi="Calibri" w:cs="Calibri"/>
      <w:color w:val="auto"/>
      <w:sz w:val="22"/>
      <w:szCs w:val="22"/>
      <w:lang w:eastAsia="en-GB"/>
    </w:rPr>
  </w:style>
  <w:style w:type="paragraph" w:styleId="NoSpacing">
    <w:name w:val="No Spacing"/>
    <w:uiPriority w:val="1"/>
    <w:qFormat/>
    <w:rsid w:val="00B83DE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096">
      <w:bodyDiv w:val="1"/>
      <w:marLeft w:val="0"/>
      <w:marRight w:val="0"/>
      <w:marTop w:val="0"/>
      <w:marBottom w:val="0"/>
      <w:divBdr>
        <w:top w:val="none" w:sz="0" w:space="0" w:color="auto"/>
        <w:left w:val="none" w:sz="0" w:space="0" w:color="auto"/>
        <w:bottom w:val="none" w:sz="0" w:space="0" w:color="auto"/>
        <w:right w:val="none" w:sz="0" w:space="0" w:color="auto"/>
      </w:divBdr>
    </w:div>
    <w:div w:id="696854740">
      <w:bodyDiv w:val="1"/>
      <w:marLeft w:val="0"/>
      <w:marRight w:val="0"/>
      <w:marTop w:val="0"/>
      <w:marBottom w:val="0"/>
      <w:divBdr>
        <w:top w:val="none" w:sz="0" w:space="0" w:color="auto"/>
        <w:left w:val="none" w:sz="0" w:space="0" w:color="auto"/>
        <w:bottom w:val="none" w:sz="0" w:space="0" w:color="auto"/>
        <w:right w:val="none" w:sz="0" w:space="0" w:color="auto"/>
      </w:divBdr>
    </w:div>
    <w:div w:id="1132556642">
      <w:bodyDiv w:val="1"/>
      <w:marLeft w:val="0"/>
      <w:marRight w:val="0"/>
      <w:marTop w:val="0"/>
      <w:marBottom w:val="0"/>
      <w:divBdr>
        <w:top w:val="none" w:sz="0" w:space="0" w:color="auto"/>
        <w:left w:val="none" w:sz="0" w:space="0" w:color="auto"/>
        <w:bottom w:val="none" w:sz="0" w:space="0" w:color="auto"/>
        <w:right w:val="none" w:sz="0" w:space="0" w:color="auto"/>
      </w:divBdr>
    </w:div>
    <w:div w:id="1273895976">
      <w:bodyDiv w:val="1"/>
      <w:marLeft w:val="0"/>
      <w:marRight w:val="0"/>
      <w:marTop w:val="0"/>
      <w:marBottom w:val="0"/>
      <w:divBdr>
        <w:top w:val="none" w:sz="0" w:space="0" w:color="auto"/>
        <w:left w:val="none" w:sz="0" w:space="0" w:color="auto"/>
        <w:bottom w:val="none" w:sz="0" w:space="0" w:color="auto"/>
        <w:right w:val="none" w:sz="0" w:space="0" w:color="auto"/>
      </w:divBdr>
    </w:div>
    <w:div w:id="1376810180">
      <w:bodyDiv w:val="1"/>
      <w:marLeft w:val="0"/>
      <w:marRight w:val="0"/>
      <w:marTop w:val="0"/>
      <w:marBottom w:val="0"/>
      <w:divBdr>
        <w:top w:val="none" w:sz="0" w:space="0" w:color="auto"/>
        <w:left w:val="none" w:sz="0" w:space="0" w:color="auto"/>
        <w:bottom w:val="none" w:sz="0" w:space="0" w:color="auto"/>
        <w:right w:val="none" w:sz="0" w:space="0" w:color="auto"/>
      </w:divBdr>
    </w:div>
    <w:div w:id="19915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peoplepopulationandcommunity/populationandmigration/populationprojections/bulletins/subnationalpopulationprojectionsforengland/2018base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ons.gov.uk/peoplepopulationandcommunity/healthandsocialcare/healthandlifeexpectancies/bulletins/lifeexpectancyforlocalareasoftheuk/between2001to2003and2021to2023" TargetMode="External"/><Relationship Id="rId17" Type="http://schemas.openxmlformats.org/officeDocument/2006/relationships/hyperlink" Target="https://gbr01.safelinks.protection.outlook.com/?url=https%3A%2F%2Fwww.nhsglos.nhs.uk%2Fwp-content%2Fuploads%2F2025%2F06%2FAI-13.1-Gloucs-ICS-Infrastructure-Strategy-Summary-Version-May-2025-Final.pdf&amp;data=05%7C02%7Ccath.leech%40nhs.net%7Cbc46156410b94fce004608dda410d7f1%7C37c354b285b047f5b22207b48d774ee3%7C0%7C0%7C638847114434243749%7CUnknown%7CTWFpbGZsb3d8eyJFbXB0eU1hcGkiOnRydWUsIlYiOiIwLjAuMDAwMCIsIlAiOiJXaW4zMiIsIkFOIjoiTWFpbCIsIldUIjoyfQ%3D%3D%7C0%7C%7C%7C&amp;sdata=J6WJGnVS1g8mABGN9BSy%2BkrUzI9x1Rr9Z8I54TNZy5w%3D&amp;reserved=0" TargetMode="External"/><Relationship Id="rId2" Type="http://schemas.openxmlformats.org/officeDocument/2006/relationships/customXml" Target="../customXml/item2.xml"/><Relationship Id="rId16" Type="http://schemas.openxmlformats.org/officeDocument/2006/relationships/hyperlink" Target="https://www.onegloucestershire.net/wp-content/uploads/2022/12/Interim-Integrated-Care-Strategy-v1.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peoplepopulationandcommunity/populationandmigration/populationprojections/bulletins/subnationalpopulationprojectionsforengland/2018based" TargetMode="External"/><Relationship Id="rId5" Type="http://schemas.openxmlformats.org/officeDocument/2006/relationships/numbering" Target="numbering.xml"/><Relationship Id="rId15" Type="http://schemas.openxmlformats.org/officeDocument/2006/relationships/hyperlink" Target="https://www.nhsglos.nhs.uk/wp-content/uploads/2023/06/Joint-Forward-Plan-2023_Web.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ucestershire.gov.uk/media/g1gmyhfg/life-expectancy-and-healthy-ageing.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Bishop\NHS%20England\Capital%20and%20Cash%20-%20Capital%20and%20Cash\TFMS%20Returns\2024-2025\4.%20ICB%20Joint%20Capital%20Resource%20Plans\Version%204%20in%20headed%20stationary\24-25%20Joint%20Capital%20plan%20guidance%20templ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1F581DAB9B4D6F8A3C88035651830D"/>
        <w:category>
          <w:name w:val="General"/>
          <w:gallery w:val="placeholder"/>
        </w:category>
        <w:types>
          <w:type w:val="bbPlcHdr"/>
        </w:types>
        <w:behaviors>
          <w:behavior w:val="content"/>
        </w:behaviors>
        <w:guid w:val="{2C0EE157-320A-4DF7-89DD-C047F85DE8FF}"/>
      </w:docPartPr>
      <w:docPartBody>
        <w:p w:rsidR="007F06A0" w:rsidRDefault="007F06A0">
          <w:pPr>
            <w:pStyle w:val="711F581DAB9B4D6F8A3C88035651830D"/>
          </w:pPr>
          <w:r w:rsidRPr="009823A6">
            <w:rPr>
              <w:rStyle w:val="PlaceholderText"/>
            </w:rPr>
            <w:t>Choose an item.</w:t>
          </w:r>
        </w:p>
      </w:docPartBody>
    </w:docPart>
    <w:docPart>
      <w:docPartPr>
        <w:name w:val="9981FB31D47A449D8762B966F18ED5C9"/>
        <w:category>
          <w:name w:val="General"/>
          <w:gallery w:val="placeholder"/>
        </w:category>
        <w:types>
          <w:type w:val="bbPlcHdr"/>
        </w:types>
        <w:behaviors>
          <w:behavior w:val="content"/>
        </w:behaviors>
        <w:guid w:val="{A0661C8D-BB68-44C0-87DF-A7363FF1B133}"/>
      </w:docPartPr>
      <w:docPartBody>
        <w:p w:rsidR="007F06A0" w:rsidRDefault="007F06A0">
          <w:pPr>
            <w:pStyle w:val="9981FB31D47A449D8762B966F18ED5C9"/>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A0"/>
    <w:rsid w:val="000345E8"/>
    <w:rsid w:val="00044051"/>
    <w:rsid w:val="00046668"/>
    <w:rsid w:val="00046C3B"/>
    <w:rsid w:val="00076C59"/>
    <w:rsid w:val="000F097A"/>
    <w:rsid w:val="0015499B"/>
    <w:rsid w:val="001601F5"/>
    <w:rsid w:val="001910AB"/>
    <w:rsid w:val="002A1AD2"/>
    <w:rsid w:val="002B50C2"/>
    <w:rsid w:val="002C2663"/>
    <w:rsid w:val="00302E8F"/>
    <w:rsid w:val="0031124C"/>
    <w:rsid w:val="003847F3"/>
    <w:rsid w:val="00392513"/>
    <w:rsid w:val="00392F02"/>
    <w:rsid w:val="00412174"/>
    <w:rsid w:val="00466855"/>
    <w:rsid w:val="00483C57"/>
    <w:rsid w:val="004D3B7C"/>
    <w:rsid w:val="00504573"/>
    <w:rsid w:val="00525E0C"/>
    <w:rsid w:val="005867C0"/>
    <w:rsid w:val="005B1D2A"/>
    <w:rsid w:val="005C26E6"/>
    <w:rsid w:val="00605C6F"/>
    <w:rsid w:val="00650AC5"/>
    <w:rsid w:val="00670FCC"/>
    <w:rsid w:val="00743309"/>
    <w:rsid w:val="00754A44"/>
    <w:rsid w:val="007B59ED"/>
    <w:rsid w:val="007C5304"/>
    <w:rsid w:val="007E12D1"/>
    <w:rsid w:val="007F06A0"/>
    <w:rsid w:val="007F15FE"/>
    <w:rsid w:val="008B0ED8"/>
    <w:rsid w:val="009146CE"/>
    <w:rsid w:val="00972696"/>
    <w:rsid w:val="00A1257F"/>
    <w:rsid w:val="00A45337"/>
    <w:rsid w:val="00A65E92"/>
    <w:rsid w:val="00A966EE"/>
    <w:rsid w:val="00B03DD9"/>
    <w:rsid w:val="00B32B4D"/>
    <w:rsid w:val="00B404F5"/>
    <w:rsid w:val="00BB7981"/>
    <w:rsid w:val="00BD7535"/>
    <w:rsid w:val="00C305F4"/>
    <w:rsid w:val="00C30D01"/>
    <w:rsid w:val="00CF51A3"/>
    <w:rsid w:val="00D24E78"/>
    <w:rsid w:val="00D3677B"/>
    <w:rsid w:val="00D40915"/>
    <w:rsid w:val="00D44A7D"/>
    <w:rsid w:val="00D851AB"/>
    <w:rsid w:val="00D912CA"/>
    <w:rsid w:val="00DB1BCF"/>
    <w:rsid w:val="00EB18B9"/>
    <w:rsid w:val="00EE6112"/>
    <w:rsid w:val="00EF3B76"/>
    <w:rsid w:val="00F74A95"/>
    <w:rsid w:val="00FC43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1F581DAB9B4D6F8A3C88035651830D">
    <w:name w:val="711F581DAB9B4D6F8A3C88035651830D"/>
  </w:style>
  <w:style w:type="paragraph" w:customStyle="1" w:styleId="9981FB31D47A449D8762B966F18ED5C9">
    <w:name w:val="9981FB31D47A449D8762B966F18ED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d990e3ca-50cc-48f4-8428-a543daa01cc5" xsi:nil="true"/>
    <_ip_UnifiedCompliancePolicyProperties xmlns="d990e3ca-50cc-48f4-8428-a543daa01cc5" xsi:nil="true"/>
    <lcf76f155ced4ddcb4097134ff3c332f xmlns="0efeabcb-02ff-41ca-982e-bc31610d3a04">
      <Terms xmlns="http://schemas.microsoft.com/office/infopath/2007/PartnerControls"/>
    </lcf76f155ced4ddcb4097134ff3c332f>
    <TaxCatchAll xmlns="d990e3ca-50cc-48f4-8428-a543daa01c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0" ma:contentTypeDescription="Create a new document." ma:contentTypeScope="" ma:versionID="2ae54ac3debf8a36c9daa8e4a1dc78f3">
  <xsd:schema xmlns:xsd="http://www.w3.org/2001/XMLSchema" xmlns:xs="http://www.w3.org/2001/XMLSchema" xmlns:p="http://schemas.microsoft.com/office/2006/metadata/properties" xmlns:ns2="d990e3ca-50cc-48f4-8428-a543daa01cc5" xmlns:ns3="0efeabcb-02ff-41ca-982e-bc31610d3a04" targetNamespace="http://schemas.microsoft.com/office/2006/metadata/properties" ma:root="true" ma:fieldsID="56a65b62c73a5a0b5050fc9162697eca" ns2:_="" ns3:_="">
    <xsd:import namespace="d990e3ca-50cc-48f4-8428-a543daa01cc5"/>
    <xsd:import namespace="0efeabcb-02ff-41ca-982e-bc31610d3a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a2b0c1-aa49-439e-94af-f2225e338c8d}"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d990e3ca-50cc-48f4-8428-a543daa01cc5"/>
    <ds:schemaRef ds:uri="0efeabcb-02ff-41ca-982e-bc31610d3a04"/>
  </ds:schemaRefs>
</ds:datastoreItem>
</file>

<file path=customXml/itemProps4.xml><?xml version="1.0" encoding="utf-8"?>
<ds:datastoreItem xmlns:ds="http://schemas.openxmlformats.org/officeDocument/2006/customXml" ds:itemID="{7D88BDBB-6CA0-4911-981B-BB3016B4A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0e3ca-50cc-48f4-8428-a543daa01cc5"/>
    <ds:schemaRef ds:uri="0efeabcb-02ff-41ca-982e-bc31610d3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24-25 Joint Capital plan guidance template</Template>
  <TotalTime>2</TotalTime>
  <Pages>10</Pages>
  <Words>3332</Words>
  <Characters>18997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Guidance on developing joint capital resource use plans 2025/26</vt:lpstr>
    </vt:vector>
  </TitlesOfParts>
  <Company>Health &amp; Social Care Information Centre</Company>
  <LinksUpToDate>false</LinksUpToDate>
  <CharactersWithSpaces>22285</CharactersWithSpaces>
  <SharedDoc>false</SharedDoc>
  <HLinks>
    <vt:vector size="126" baseType="variant">
      <vt:variant>
        <vt:i4>6684684</vt:i4>
      </vt:variant>
      <vt:variant>
        <vt:i4>111</vt:i4>
      </vt:variant>
      <vt:variant>
        <vt:i4>0</vt:i4>
      </vt:variant>
      <vt:variant>
        <vt:i4>5</vt:i4>
      </vt:variant>
      <vt:variant>
        <vt:lpwstr>mailto:england.capitalcashqueries@nhs.net</vt:lpwstr>
      </vt:variant>
      <vt:variant>
        <vt:lpwstr/>
      </vt:variant>
      <vt:variant>
        <vt:i4>6684684</vt:i4>
      </vt:variant>
      <vt:variant>
        <vt:i4>108</vt:i4>
      </vt:variant>
      <vt:variant>
        <vt:i4>0</vt:i4>
      </vt:variant>
      <vt:variant>
        <vt:i4>5</vt:i4>
      </vt:variant>
      <vt:variant>
        <vt:lpwstr>mailto:england.capitalcashqueries@nhs.net</vt:lpwstr>
      </vt:variant>
      <vt:variant>
        <vt:lpwstr/>
      </vt:variant>
      <vt:variant>
        <vt:i4>6684684</vt:i4>
      </vt:variant>
      <vt:variant>
        <vt:i4>105</vt:i4>
      </vt:variant>
      <vt:variant>
        <vt:i4>0</vt:i4>
      </vt:variant>
      <vt:variant>
        <vt:i4>5</vt:i4>
      </vt:variant>
      <vt:variant>
        <vt:lpwstr>mailto:england.capitalcashqueries@nhs.net</vt:lpwstr>
      </vt:variant>
      <vt:variant>
        <vt:lpwstr/>
      </vt:variant>
      <vt:variant>
        <vt:i4>4653067</vt:i4>
      </vt:variant>
      <vt:variant>
        <vt:i4>102</vt:i4>
      </vt:variant>
      <vt:variant>
        <vt:i4>0</vt:i4>
      </vt:variant>
      <vt:variant>
        <vt:i4>5</vt:i4>
      </vt:variant>
      <vt:variant>
        <vt:lpwstr>https://future.nhs.uk/nationalplanning/grouphome</vt:lpwstr>
      </vt:variant>
      <vt:variant>
        <vt:lpwstr/>
      </vt:variant>
      <vt:variant>
        <vt:i4>1310798</vt:i4>
      </vt:variant>
      <vt:variant>
        <vt:i4>99</vt:i4>
      </vt:variant>
      <vt:variant>
        <vt:i4>0</vt:i4>
      </vt:variant>
      <vt:variant>
        <vt:i4>5</vt:i4>
      </vt:variant>
      <vt:variant>
        <vt:lpwstr>https://www.legislation.gov.uk/ukpga/2022/31/section/25/enacted</vt:lpwstr>
      </vt:variant>
      <vt:variant>
        <vt:lpwstr>p00328</vt:lpwstr>
      </vt:variant>
      <vt:variant>
        <vt:i4>1769522</vt:i4>
      </vt:variant>
      <vt:variant>
        <vt:i4>92</vt:i4>
      </vt:variant>
      <vt:variant>
        <vt:i4>0</vt:i4>
      </vt:variant>
      <vt:variant>
        <vt:i4>5</vt:i4>
      </vt:variant>
      <vt:variant>
        <vt:lpwstr/>
      </vt:variant>
      <vt:variant>
        <vt:lpwstr>_Toc153811106</vt:lpwstr>
      </vt:variant>
      <vt:variant>
        <vt:i4>1769522</vt:i4>
      </vt:variant>
      <vt:variant>
        <vt:i4>86</vt:i4>
      </vt:variant>
      <vt:variant>
        <vt:i4>0</vt:i4>
      </vt:variant>
      <vt:variant>
        <vt:i4>5</vt:i4>
      </vt:variant>
      <vt:variant>
        <vt:lpwstr/>
      </vt:variant>
      <vt:variant>
        <vt:lpwstr>_Toc153811105</vt:lpwstr>
      </vt:variant>
      <vt:variant>
        <vt:i4>1769522</vt:i4>
      </vt:variant>
      <vt:variant>
        <vt:i4>80</vt:i4>
      </vt:variant>
      <vt:variant>
        <vt:i4>0</vt:i4>
      </vt:variant>
      <vt:variant>
        <vt:i4>5</vt:i4>
      </vt:variant>
      <vt:variant>
        <vt:lpwstr/>
      </vt:variant>
      <vt:variant>
        <vt:lpwstr>_Toc153811104</vt:lpwstr>
      </vt:variant>
      <vt:variant>
        <vt:i4>1769522</vt:i4>
      </vt:variant>
      <vt:variant>
        <vt:i4>74</vt:i4>
      </vt:variant>
      <vt:variant>
        <vt:i4>0</vt:i4>
      </vt:variant>
      <vt:variant>
        <vt:i4>5</vt:i4>
      </vt:variant>
      <vt:variant>
        <vt:lpwstr/>
      </vt:variant>
      <vt:variant>
        <vt:lpwstr>_Toc153811103</vt:lpwstr>
      </vt:variant>
      <vt:variant>
        <vt:i4>1769522</vt:i4>
      </vt:variant>
      <vt:variant>
        <vt:i4>68</vt:i4>
      </vt:variant>
      <vt:variant>
        <vt:i4>0</vt:i4>
      </vt:variant>
      <vt:variant>
        <vt:i4>5</vt:i4>
      </vt:variant>
      <vt:variant>
        <vt:lpwstr/>
      </vt:variant>
      <vt:variant>
        <vt:lpwstr>_Toc153811102</vt:lpwstr>
      </vt:variant>
      <vt:variant>
        <vt:i4>1769522</vt:i4>
      </vt:variant>
      <vt:variant>
        <vt:i4>62</vt:i4>
      </vt:variant>
      <vt:variant>
        <vt:i4>0</vt:i4>
      </vt:variant>
      <vt:variant>
        <vt:i4>5</vt:i4>
      </vt:variant>
      <vt:variant>
        <vt:lpwstr/>
      </vt:variant>
      <vt:variant>
        <vt:lpwstr>_Toc153811101</vt:lpwstr>
      </vt:variant>
      <vt:variant>
        <vt:i4>1769522</vt:i4>
      </vt:variant>
      <vt:variant>
        <vt:i4>56</vt:i4>
      </vt:variant>
      <vt:variant>
        <vt:i4>0</vt:i4>
      </vt:variant>
      <vt:variant>
        <vt:i4>5</vt:i4>
      </vt:variant>
      <vt:variant>
        <vt:lpwstr/>
      </vt:variant>
      <vt:variant>
        <vt:lpwstr>_Toc153811100</vt:lpwstr>
      </vt:variant>
      <vt:variant>
        <vt:i4>1179699</vt:i4>
      </vt:variant>
      <vt:variant>
        <vt:i4>50</vt:i4>
      </vt:variant>
      <vt:variant>
        <vt:i4>0</vt:i4>
      </vt:variant>
      <vt:variant>
        <vt:i4>5</vt:i4>
      </vt:variant>
      <vt:variant>
        <vt:lpwstr/>
      </vt:variant>
      <vt:variant>
        <vt:lpwstr>_Toc153811099</vt:lpwstr>
      </vt:variant>
      <vt:variant>
        <vt:i4>1179699</vt:i4>
      </vt:variant>
      <vt:variant>
        <vt:i4>44</vt:i4>
      </vt:variant>
      <vt:variant>
        <vt:i4>0</vt:i4>
      </vt:variant>
      <vt:variant>
        <vt:i4>5</vt:i4>
      </vt:variant>
      <vt:variant>
        <vt:lpwstr/>
      </vt:variant>
      <vt:variant>
        <vt:lpwstr>_Toc153811098</vt:lpwstr>
      </vt:variant>
      <vt:variant>
        <vt:i4>1179699</vt:i4>
      </vt:variant>
      <vt:variant>
        <vt:i4>38</vt:i4>
      </vt:variant>
      <vt:variant>
        <vt:i4>0</vt:i4>
      </vt:variant>
      <vt:variant>
        <vt:i4>5</vt:i4>
      </vt:variant>
      <vt:variant>
        <vt:lpwstr/>
      </vt:variant>
      <vt:variant>
        <vt:lpwstr>_Toc153811097</vt:lpwstr>
      </vt:variant>
      <vt:variant>
        <vt:i4>1179699</vt:i4>
      </vt:variant>
      <vt:variant>
        <vt:i4>32</vt:i4>
      </vt:variant>
      <vt:variant>
        <vt:i4>0</vt:i4>
      </vt:variant>
      <vt:variant>
        <vt:i4>5</vt:i4>
      </vt:variant>
      <vt:variant>
        <vt:lpwstr/>
      </vt:variant>
      <vt:variant>
        <vt:lpwstr>_Toc153811096</vt:lpwstr>
      </vt:variant>
      <vt:variant>
        <vt:i4>1179699</vt:i4>
      </vt:variant>
      <vt:variant>
        <vt:i4>26</vt:i4>
      </vt:variant>
      <vt:variant>
        <vt:i4>0</vt:i4>
      </vt:variant>
      <vt:variant>
        <vt:i4>5</vt:i4>
      </vt:variant>
      <vt:variant>
        <vt:lpwstr/>
      </vt:variant>
      <vt:variant>
        <vt:lpwstr>_Toc153811095</vt:lpwstr>
      </vt:variant>
      <vt:variant>
        <vt:i4>1179699</vt:i4>
      </vt:variant>
      <vt:variant>
        <vt:i4>20</vt:i4>
      </vt:variant>
      <vt:variant>
        <vt:i4>0</vt:i4>
      </vt:variant>
      <vt:variant>
        <vt:i4>5</vt:i4>
      </vt:variant>
      <vt:variant>
        <vt:lpwstr/>
      </vt:variant>
      <vt:variant>
        <vt:lpwstr>_Toc153811094</vt:lpwstr>
      </vt:variant>
      <vt:variant>
        <vt:i4>1179699</vt:i4>
      </vt:variant>
      <vt:variant>
        <vt:i4>14</vt:i4>
      </vt:variant>
      <vt:variant>
        <vt:i4>0</vt:i4>
      </vt:variant>
      <vt:variant>
        <vt:i4>5</vt:i4>
      </vt:variant>
      <vt:variant>
        <vt:lpwstr/>
      </vt:variant>
      <vt:variant>
        <vt:lpwstr>_Toc153811093</vt:lpwstr>
      </vt:variant>
      <vt:variant>
        <vt:i4>1179699</vt:i4>
      </vt:variant>
      <vt:variant>
        <vt:i4>8</vt:i4>
      </vt:variant>
      <vt:variant>
        <vt:i4>0</vt:i4>
      </vt:variant>
      <vt:variant>
        <vt:i4>5</vt:i4>
      </vt:variant>
      <vt:variant>
        <vt:lpwstr/>
      </vt:variant>
      <vt:variant>
        <vt:lpwstr>_Toc153811092</vt:lpwstr>
      </vt:variant>
      <vt:variant>
        <vt:i4>1179699</vt:i4>
      </vt:variant>
      <vt:variant>
        <vt:i4>2</vt:i4>
      </vt:variant>
      <vt:variant>
        <vt:i4>0</vt:i4>
      </vt:variant>
      <vt:variant>
        <vt:i4>5</vt:i4>
      </vt:variant>
      <vt:variant>
        <vt:lpwstr/>
      </vt:variant>
      <vt:variant>
        <vt:lpwstr>_Toc153811091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developing joint capital resource use plans 2025/26</dc:title>
  <dc:subject/>
  <dc:creator>Rachel Bishop</dc:creator>
  <cp:keywords/>
  <cp:lastModifiedBy>RAHMAN, Shofiqur (NHS GLOUCESTERSHIRE ICB - 11M)</cp:lastModifiedBy>
  <cp:revision>2</cp:revision>
  <cp:lastPrinted>2016-07-14T17:27:00Z</cp:lastPrinted>
  <dcterms:created xsi:type="dcterms:W3CDTF">2025-07-07T13:32:00Z</dcterms:created>
  <dcterms:modified xsi:type="dcterms:W3CDTF">2025-07-07T13:32:00Z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9101700</vt:r8>
  </property>
  <property fmtid="{D5CDD505-2E9C-101B-9397-08002B2CF9AE}" pid="9" name="_ExtendedDescription">
    <vt:lpwstr/>
  </property>
</Properties>
</file>