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05A7" w14:textId="77777777" w:rsidR="001A0D29" w:rsidRDefault="001A0D29" w:rsidP="001A0D29">
      <w:pPr>
        <w:pStyle w:val="Heading2"/>
        <w:jc w:val="center"/>
      </w:pPr>
      <w:bookmarkStart w:id="0" w:name="_Toc153811106"/>
      <w:r>
        <w:t>Gloucestershire Integrated Care System</w:t>
      </w:r>
    </w:p>
    <w:p w14:paraId="7D1AA909" w14:textId="3A812B84" w:rsidR="001A0D29" w:rsidRDefault="001A0D29" w:rsidP="001A0D29">
      <w:pPr>
        <w:pStyle w:val="Heading2"/>
        <w:jc w:val="center"/>
      </w:pPr>
      <w:r>
        <w:t>J</w:t>
      </w:r>
      <w:r w:rsidRPr="00717A90">
        <w:t xml:space="preserve">oint </w:t>
      </w:r>
      <w:r>
        <w:t>c</w:t>
      </w:r>
      <w:r w:rsidRPr="00717A90">
        <w:t xml:space="preserve">apital </w:t>
      </w:r>
      <w:r>
        <w:t>r</w:t>
      </w:r>
      <w:r w:rsidRPr="00717A90">
        <w:t xml:space="preserve">esource </w:t>
      </w:r>
      <w:r>
        <w:t>use p</w:t>
      </w:r>
      <w:r w:rsidRPr="00717A90">
        <w:t>lan</w:t>
      </w:r>
      <w:r>
        <w:t xml:space="preserve"> </w:t>
      </w:r>
      <w:r w:rsidRPr="00717A90">
        <w:t>202</w:t>
      </w:r>
      <w:bookmarkEnd w:id="0"/>
      <w:r w:rsidR="000C57B8">
        <w:t>6</w:t>
      </w:r>
      <w:r w:rsidR="003D059C">
        <w:t>/2</w:t>
      </w:r>
      <w:r w:rsidR="000C57B8">
        <w:t>7</w:t>
      </w:r>
    </w:p>
    <w:p w14:paraId="575FBBCF" w14:textId="500E63C4" w:rsidR="001A0D29" w:rsidRPr="001A0D29" w:rsidRDefault="001A0D29" w:rsidP="001A0D29"/>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45"/>
        <w:gridCol w:w="1269"/>
        <w:gridCol w:w="1817"/>
        <w:gridCol w:w="1273"/>
        <w:gridCol w:w="1266"/>
        <w:gridCol w:w="1284"/>
      </w:tblGrid>
      <w:tr w:rsidR="001A0D29" w:rsidRPr="001A0D29" w14:paraId="14277C2D" w14:textId="77777777" w:rsidTr="001A0D29">
        <w:trPr>
          <w:trHeight w:val="475"/>
        </w:trPr>
        <w:tc>
          <w:tcPr>
            <w:tcW w:w="2945" w:type="dxa"/>
            <w:shd w:val="clear" w:color="auto" w:fill="0070C0"/>
            <w:vAlign w:val="center"/>
          </w:tcPr>
          <w:p w14:paraId="4820996A" w14:textId="378F1FD7" w:rsidR="0055353C" w:rsidRPr="003D059C" w:rsidRDefault="00DC71C6" w:rsidP="00B53BA6">
            <w:pPr>
              <w:rPr>
                <w:rFonts w:cs="Arial"/>
                <w:b/>
                <w:bCs/>
                <w:color w:val="FFFFFF" w:themeColor="text1"/>
              </w:rPr>
            </w:pPr>
            <w:r w:rsidRPr="003D059C">
              <w:rPr>
                <w:rFonts w:cs="Arial"/>
                <w:b/>
                <w:bCs/>
                <w:color w:val="FFFFFF" w:themeColor="text1"/>
              </w:rPr>
              <w:t>Region</w:t>
            </w:r>
          </w:p>
        </w:tc>
        <w:sdt>
          <w:sdtPr>
            <w:rPr>
              <w:rFonts w:cs="Arial"/>
              <w:b/>
              <w:bCs/>
              <w:color w:val="231F20" w:themeColor="background1"/>
            </w:rPr>
            <w:alias w:val="REGION"/>
            <w:tag w:val="REGION"/>
            <w:id w:val="-1480458433"/>
            <w:placeholder>
              <w:docPart w:val="711F581DAB9B4D6F8A3C88035651830D"/>
            </w:placeholder>
            <w:dropDownList>
              <w:listItem w:value="Choose an item."/>
              <w:listItem w:displayText="North East &amp; Yorkshire" w:value="North East &amp; Yorkshire"/>
              <w:listItem w:displayText="South East" w:value="South East"/>
              <w:listItem w:displayText="South West" w:value="South West"/>
              <w:listItem w:displayText="London" w:value="London"/>
              <w:listItem w:displayText="Midlands" w:value="Midlands"/>
              <w:listItem w:displayText="East of England" w:value="East of England"/>
              <w:listItem w:displayText="North West" w:value="North West"/>
            </w:dropDownList>
          </w:sdtPr>
          <w:sdtEndPr/>
          <w:sdtContent>
            <w:tc>
              <w:tcPr>
                <w:tcW w:w="6909" w:type="dxa"/>
                <w:gridSpan w:val="5"/>
                <w:vAlign w:val="center"/>
              </w:tcPr>
              <w:p w14:paraId="25AA5FBC" w14:textId="343FC04A" w:rsidR="0055353C" w:rsidRPr="003D059C" w:rsidRDefault="003D059C" w:rsidP="00B53BA6">
                <w:pPr>
                  <w:rPr>
                    <w:rFonts w:cs="Arial"/>
                    <w:b/>
                    <w:bCs/>
                    <w:color w:val="231F20" w:themeColor="background1"/>
                  </w:rPr>
                </w:pPr>
                <w:r w:rsidRPr="003D059C">
                  <w:rPr>
                    <w:rFonts w:cs="Arial"/>
                    <w:b/>
                    <w:bCs/>
                    <w:color w:val="231F20" w:themeColor="background1"/>
                  </w:rPr>
                  <w:t>South West</w:t>
                </w:r>
              </w:p>
            </w:tc>
          </w:sdtContent>
        </w:sdt>
      </w:tr>
      <w:tr w:rsidR="001A0D29" w:rsidRPr="001A0D29" w14:paraId="39450205" w14:textId="77777777" w:rsidTr="001A0D29">
        <w:trPr>
          <w:trHeight w:val="411"/>
        </w:trPr>
        <w:tc>
          <w:tcPr>
            <w:tcW w:w="2945" w:type="dxa"/>
            <w:shd w:val="clear" w:color="auto" w:fill="0070C0"/>
            <w:vAlign w:val="center"/>
          </w:tcPr>
          <w:p w14:paraId="7FF6CE6F" w14:textId="77777777" w:rsidR="0055353C" w:rsidRPr="003D059C" w:rsidRDefault="0055353C" w:rsidP="00B53BA6">
            <w:pPr>
              <w:rPr>
                <w:rFonts w:cs="Arial"/>
                <w:b/>
                <w:bCs/>
                <w:color w:val="FFFFFF" w:themeColor="text1"/>
              </w:rPr>
            </w:pPr>
            <w:r w:rsidRPr="003D059C">
              <w:rPr>
                <w:rFonts w:cs="Arial"/>
                <w:b/>
                <w:bCs/>
                <w:color w:val="FFFFFF" w:themeColor="text1"/>
              </w:rPr>
              <w:t>Date published</w:t>
            </w:r>
          </w:p>
        </w:tc>
        <w:tc>
          <w:tcPr>
            <w:tcW w:w="6909" w:type="dxa"/>
            <w:gridSpan w:val="5"/>
            <w:vAlign w:val="center"/>
          </w:tcPr>
          <w:p w14:paraId="3A5A6798" w14:textId="77777777" w:rsidR="0055353C" w:rsidRPr="003D059C" w:rsidRDefault="0055353C" w:rsidP="00B53BA6">
            <w:pPr>
              <w:rPr>
                <w:rFonts w:cs="Arial"/>
                <w:b/>
                <w:bCs/>
                <w:color w:val="231F20" w:themeColor="background1"/>
              </w:rPr>
            </w:pPr>
          </w:p>
        </w:tc>
      </w:tr>
      <w:tr w:rsidR="001A0D29" w:rsidRPr="001A0D29" w14:paraId="505D34B9" w14:textId="77777777" w:rsidTr="001A0D29">
        <w:trPr>
          <w:trHeight w:val="219"/>
        </w:trPr>
        <w:tc>
          <w:tcPr>
            <w:tcW w:w="2945" w:type="dxa"/>
            <w:shd w:val="clear" w:color="auto" w:fill="0070C0"/>
            <w:vAlign w:val="center"/>
          </w:tcPr>
          <w:p w14:paraId="276B3E74" w14:textId="3624BAD4" w:rsidR="0055353C" w:rsidRPr="003D059C" w:rsidRDefault="0055353C" w:rsidP="00B53BA6">
            <w:pPr>
              <w:rPr>
                <w:rFonts w:cs="Arial"/>
                <w:b/>
                <w:bCs/>
                <w:color w:val="FFFFFF" w:themeColor="text1"/>
              </w:rPr>
            </w:pPr>
            <w:r w:rsidRPr="003D059C">
              <w:rPr>
                <w:rFonts w:cs="Arial"/>
                <w:b/>
                <w:bCs/>
                <w:color w:val="FFFFFF" w:themeColor="text1"/>
              </w:rPr>
              <w:t>Version</w:t>
            </w:r>
            <w:r w:rsidR="0064203F" w:rsidRPr="003D059C">
              <w:rPr>
                <w:rFonts w:cs="Arial"/>
                <w:b/>
                <w:bCs/>
                <w:color w:val="FFFFFF" w:themeColor="text1"/>
              </w:rPr>
              <w:t xml:space="preserve"> </w:t>
            </w:r>
            <w:r w:rsidR="00F52B98" w:rsidRPr="003D059C">
              <w:rPr>
                <w:rFonts w:cs="Arial"/>
                <w:b/>
                <w:bCs/>
                <w:color w:val="FFFFFF" w:themeColor="text1"/>
              </w:rPr>
              <w:t>control</w:t>
            </w:r>
          </w:p>
        </w:tc>
        <w:tc>
          <w:tcPr>
            <w:tcW w:w="6909" w:type="dxa"/>
            <w:gridSpan w:val="5"/>
            <w:vAlign w:val="center"/>
          </w:tcPr>
          <w:p w14:paraId="5847AA4D" w14:textId="77777777" w:rsidR="0055353C" w:rsidRPr="003D059C" w:rsidRDefault="0055353C" w:rsidP="00B53BA6">
            <w:pPr>
              <w:rPr>
                <w:rFonts w:cs="Arial"/>
                <w:b/>
                <w:bCs/>
                <w:color w:val="231F20" w:themeColor="background1"/>
              </w:rPr>
            </w:pPr>
          </w:p>
        </w:tc>
      </w:tr>
      <w:tr w:rsidR="001A0D29" w:rsidRPr="001A0D29" w14:paraId="7FA149D2" w14:textId="77777777" w:rsidTr="001A0D29">
        <w:trPr>
          <w:trHeight w:val="219"/>
        </w:trPr>
        <w:tc>
          <w:tcPr>
            <w:tcW w:w="2945" w:type="dxa"/>
            <w:shd w:val="clear" w:color="auto" w:fill="0070C0"/>
            <w:vAlign w:val="center"/>
          </w:tcPr>
          <w:p w14:paraId="4CF87A91" w14:textId="762B6404" w:rsidR="0064203F" w:rsidRPr="003D059C" w:rsidRDefault="0064203F" w:rsidP="00B53BA6">
            <w:pPr>
              <w:rPr>
                <w:rFonts w:cs="Arial"/>
                <w:b/>
                <w:bCs/>
                <w:color w:val="FFFFFF" w:themeColor="text1"/>
              </w:rPr>
            </w:pPr>
            <w:r w:rsidRPr="003D059C">
              <w:rPr>
                <w:rFonts w:cs="Arial"/>
                <w:b/>
                <w:bCs/>
                <w:color w:val="FFFFFF" w:themeColor="text1"/>
              </w:rPr>
              <w:t>Version</w:t>
            </w:r>
          </w:p>
        </w:tc>
        <w:tc>
          <w:tcPr>
            <w:tcW w:w="1269" w:type="dxa"/>
            <w:vAlign w:val="center"/>
          </w:tcPr>
          <w:p w14:paraId="77E906DE" w14:textId="433C019C" w:rsidR="0064203F" w:rsidRPr="003D059C" w:rsidRDefault="0064203F" w:rsidP="00B53BA6">
            <w:pPr>
              <w:rPr>
                <w:rFonts w:cs="Arial"/>
                <w:color w:val="231F20" w:themeColor="background1"/>
              </w:rPr>
            </w:pPr>
            <w:r w:rsidRPr="003D059C">
              <w:rPr>
                <w:rFonts w:cs="Arial"/>
                <w:color w:val="231F20" w:themeColor="background1"/>
              </w:rPr>
              <w:t>Date issued</w:t>
            </w:r>
          </w:p>
        </w:tc>
        <w:tc>
          <w:tcPr>
            <w:tcW w:w="1817" w:type="dxa"/>
            <w:vAlign w:val="center"/>
          </w:tcPr>
          <w:p w14:paraId="41B9599A" w14:textId="665392B7" w:rsidR="0064203F" w:rsidRPr="003D059C" w:rsidRDefault="0064203F" w:rsidP="00B53BA6">
            <w:pPr>
              <w:rPr>
                <w:rFonts w:cs="Arial"/>
                <w:color w:val="231F20" w:themeColor="background1"/>
              </w:rPr>
            </w:pPr>
            <w:r w:rsidRPr="003D059C">
              <w:rPr>
                <w:rFonts w:cs="Arial"/>
                <w:color w:val="231F20" w:themeColor="background1"/>
              </w:rPr>
              <w:t>Who/Comment</w:t>
            </w:r>
          </w:p>
        </w:tc>
        <w:tc>
          <w:tcPr>
            <w:tcW w:w="1273" w:type="dxa"/>
            <w:vAlign w:val="center"/>
          </w:tcPr>
          <w:p w14:paraId="7EAF3299" w14:textId="371FA82B" w:rsidR="0064203F" w:rsidRPr="003D059C" w:rsidRDefault="0064203F" w:rsidP="00B53BA6">
            <w:pPr>
              <w:rPr>
                <w:rFonts w:cs="Arial"/>
                <w:color w:val="231F20" w:themeColor="background1"/>
              </w:rPr>
            </w:pPr>
            <w:r w:rsidRPr="003D059C">
              <w:rPr>
                <w:rFonts w:cs="Arial"/>
                <w:color w:val="231F20" w:themeColor="background1"/>
              </w:rPr>
              <w:t>Updated by</w:t>
            </w:r>
          </w:p>
        </w:tc>
        <w:tc>
          <w:tcPr>
            <w:tcW w:w="1266" w:type="dxa"/>
            <w:vAlign w:val="center"/>
          </w:tcPr>
          <w:p w14:paraId="223506A1" w14:textId="481842A6" w:rsidR="0064203F" w:rsidRPr="003D059C" w:rsidRDefault="0064203F" w:rsidP="00B53BA6">
            <w:pPr>
              <w:rPr>
                <w:rFonts w:cs="Arial"/>
                <w:color w:val="231F20" w:themeColor="background1"/>
              </w:rPr>
            </w:pPr>
            <w:r w:rsidRPr="003D059C">
              <w:rPr>
                <w:rFonts w:cs="Arial"/>
                <w:color w:val="231F20" w:themeColor="background1"/>
              </w:rPr>
              <w:t>Sign off</w:t>
            </w:r>
          </w:p>
        </w:tc>
        <w:tc>
          <w:tcPr>
            <w:tcW w:w="1284" w:type="dxa"/>
            <w:vAlign w:val="center"/>
          </w:tcPr>
          <w:p w14:paraId="7382E53D" w14:textId="767351B3" w:rsidR="0064203F" w:rsidRPr="003D059C" w:rsidRDefault="0064203F" w:rsidP="00B53BA6">
            <w:pPr>
              <w:rPr>
                <w:rFonts w:cs="Arial"/>
                <w:color w:val="231F20" w:themeColor="background1"/>
              </w:rPr>
            </w:pPr>
            <w:r w:rsidRPr="003D059C">
              <w:rPr>
                <w:rFonts w:cs="Arial"/>
                <w:color w:val="231F20" w:themeColor="background1"/>
              </w:rPr>
              <w:t>Approvals</w:t>
            </w:r>
          </w:p>
        </w:tc>
      </w:tr>
    </w:tbl>
    <w:p w14:paraId="22BC7480" w14:textId="77777777" w:rsidR="0055353C" w:rsidRPr="007A2C46" w:rsidRDefault="0055353C" w:rsidP="0055353C"/>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4"/>
      </w:tblGrid>
      <w:tr w:rsidR="00DE2C6E" w:rsidRPr="007A2C46" w14:paraId="284BD104" w14:textId="77777777" w:rsidTr="002E7915">
        <w:trPr>
          <w:trHeight w:val="605"/>
        </w:trPr>
        <w:tc>
          <w:tcPr>
            <w:tcW w:w="9351" w:type="dxa"/>
            <w:shd w:val="clear" w:color="auto" w:fill="0070C0"/>
            <w:vAlign w:val="center"/>
          </w:tcPr>
          <w:p w14:paraId="32CE1D6E" w14:textId="77777777" w:rsidR="0055353C" w:rsidRPr="007A2C46" w:rsidRDefault="0055353C" w:rsidP="00B53BA6">
            <w:pPr>
              <w:rPr>
                <w:rFonts w:cs="Arial"/>
                <w:i/>
                <w:iCs/>
                <w:color w:val="FFFFFF" w:themeColor="text1"/>
                <w:sz w:val="18"/>
                <w:szCs w:val="18"/>
              </w:rPr>
            </w:pPr>
            <w:r w:rsidRPr="007A2C46">
              <w:rPr>
                <w:rFonts w:cs="Arial"/>
                <w:b/>
                <w:bCs/>
                <w:color w:val="FFFFFF" w:themeColor="text1"/>
              </w:rPr>
              <w:t>Introduction</w:t>
            </w:r>
          </w:p>
        </w:tc>
      </w:tr>
      <w:tr w:rsidR="00DE2C6E" w:rsidRPr="00D41CBE" w14:paraId="5E45CAD3" w14:textId="77777777" w:rsidTr="002E7915">
        <w:trPr>
          <w:trHeight w:val="2169"/>
        </w:trPr>
        <w:tc>
          <w:tcPr>
            <w:tcW w:w="9351" w:type="dxa"/>
          </w:tcPr>
          <w:p w14:paraId="319B4CB4" w14:textId="77777777" w:rsidR="001A0D29" w:rsidRPr="00D41CBE" w:rsidRDefault="001A0D29" w:rsidP="001A0D29">
            <w:pPr>
              <w:rPr>
                <w:rFonts w:cs="Arial"/>
                <w:color w:val="auto"/>
              </w:rPr>
            </w:pPr>
            <w:r w:rsidRPr="00D41CBE">
              <w:rPr>
                <w:rFonts w:cs="Arial"/>
                <w:color w:val="auto"/>
              </w:rPr>
              <w:t>Parliament and Treasury set the Department of Health and Social Care (DHSC) a limit for how much capital it can spend. Capital spending covers long-term spend such as new buildings, equipment and technology. It doesn’t include spending such as staff costs or medicines (which is classed as revenue).</w:t>
            </w:r>
          </w:p>
          <w:p w14:paraId="29E05D5F" w14:textId="77777777" w:rsidR="000C57B8" w:rsidRPr="00D41CBE" w:rsidRDefault="001A0D29" w:rsidP="001A0D29">
            <w:pPr>
              <w:rPr>
                <w:rFonts w:cs="Arial"/>
                <w:color w:val="auto"/>
              </w:rPr>
            </w:pPr>
            <w:r w:rsidRPr="00D41CBE">
              <w:rPr>
                <w:rFonts w:cs="Arial"/>
                <w:color w:val="auto"/>
              </w:rPr>
              <w:t>This budget limit, called the capital departmental expenditure limit (CDEL), covers all capital spending by the Department and the NHS.  The Department and the NHS are legally obliged not to spend above this limit.</w:t>
            </w:r>
          </w:p>
          <w:p w14:paraId="5EE55573" w14:textId="7F4646CC" w:rsidR="000C57B8" w:rsidRPr="00D41CBE" w:rsidRDefault="000C57B8" w:rsidP="003B7A03">
            <w:pPr>
              <w:rPr>
                <w:rFonts w:cs="Arial"/>
                <w:color w:val="auto"/>
              </w:rPr>
            </w:pPr>
            <w:r w:rsidRPr="00D41CBE">
              <w:rPr>
                <w:rFonts w:cs="Arial"/>
                <w:color w:val="auto"/>
              </w:rPr>
              <w:t xml:space="preserve">In previous years capital allocations have been made at a system level and organisations have come together to develop prioritised plans.  For 2026/27, allocations have been made at an organisational level.  Gloucestershire has continued to share plans across the system to ensure there is visibility and to ensure that any </w:t>
            </w:r>
            <w:r w:rsidR="00725096" w:rsidRPr="00D41CBE">
              <w:rPr>
                <w:rFonts w:cs="Arial"/>
                <w:color w:val="auto"/>
              </w:rPr>
              <w:t>interrelated</w:t>
            </w:r>
            <w:r w:rsidRPr="00D41CBE">
              <w:rPr>
                <w:rFonts w:cs="Arial"/>
                <w:color w:val="auto"/>
              </w:rPr>
              <w:t xml:space="preserve"> schemes are identified. </w:t>
            </w:r>
            <w:r w:rsidR="003B7A03" w:rsidRPr="00D41CBE">
              <w:rPr>
                <w:rFonts w:cs="Arial"/>
                <w:color w:val="auto"/>
              </w:rPr>
              <w:t>The joint capital plan is consistent with the NHS Medium-term Planning Framework, ‘delivering change together’.</w:t>
            </w:r>
            <w:r w:rsidRPr="00D41CBE">
              <w:rPr>
                <w:rFonts w:cs="Arial"/>
                <w:color w:val="auto"/>
              </w:rPr>
              <w:t xml:space="preserve">  </w:t>
            </w:r>
          </w:p>
          <w:p w14:paraId="60C0B07B" w14:textId="6474E6CC" w:rsidR="000C57B8" w:rsidRPr="00D41CBE" w:rsidRDefault="000C57B8" w:rsidP="000C57B8">
            <w:pPr>
              <w:rPr>
                <w:rFonts w:cs="Arial"/>
                <w:color w:val="auto"/>
              </w:rPr>
            </w:pPr>
            <w:r w:rsidRPr="00D41CBE">
              <w:rPr>
                <w:rFonts w:cs="Arial"/>
                <w:color w:val="auto"/>
              </w:rPr>
              <w:t>The provider capital bids for critical infrastructure and constitutional standards have been reviewed by Executives and those for constitutional standards are being reviewed as part of portfolio plans.</w:t>
            </w:r>
          </w:p>
          <w:p w14:paraId="5B3F4BA1" w14:textId="77777777" w:rsidR="000C57B8" w:rsidRPr="00D41CBE" w:rsidRDefault="000C57B8" w:rsidP="000C57B8">
            <w:pPr>
              <w:rPr>
                <w:rFonts w:cs="Arial"/>
                <w:color w:val="auto"/>
              </w:rPr>
            </w:pPr>
          </w:p>
          <w:p w14:paraId="7EA568E2" w14:textId="43F03C40" w:rsidR="002141D0" w:rsidRPr="00D41CBE" w:rsidRDefault="001A0D29" w:rsidP="001A0D29">
            <w:pPr>
              <w:rPr>
                <w:rFonts w:cs="Arial"/>
                <w:color w:val="auto"/>
              </w:rPr>
            </w:pPr>
            <w:r w:rsidRPr="00D41CBE">
              <w:rPr>
                <w:rFonts w:cs="Arial"/>
                <w:color w:val="auto"/>
              </w:rPr>
              <w:lastRenderedPageBreak/>
              <w:t xml:space="preserve">  A major part of the NHS capital is allocated to develop a plan with the majority going towards NHS Foundation Trusts and a small amount for General Practice requirements (covering information technology and minor improvement grants).  Planning </w:t>
            </w:r>
            <w:proofErr w:type="gramStart"/>
            <w:r w:rsidRPr="00D41CBE">
              <w:rPr>
                <w:rFonts w:cs="Arial"/>
                <w:color w:val="auto"/>
              </w:rPr>
              <w:t>takes into account</w:t>
            </w:r>
            <w:proofErr w:type="gramEnd"/>
            <w:r w:rsidRPr="00D41CBE">
              <w:rPr>
                <w:rFonts w:cs="Arial"/>
                <w:color w:val="auto"/>
              </w:rPr>
              <w:t xml:space="preserve"> the need to upgrade estates, replace medical equipment</w:t>
            </w:r>
            <w:r w:rsidR="00C63BF0" w:rsidRPr="00D41CBE">
              <w:rPr>
                <w:rFonts w:cs="Arial"/>
                <w:color w:val="auto"/>
              </w:rPr>
              <w:t>,</w:t>
            </w:r>
            <w:r w:rsidRPr="00D41CBE">
              <w:rPr>
                <w:rFonts w:cs="Arial"/>
                <w:color w:val="auto"/>
              </w:rPr>
              <w:t xml:space="preserve"> information technology equipment</w:t>
            </w:r>
            <w:r w:rsidR="00C63BF0" w:rsidRPr="00D41CBE">
              <w:rPr>
                <w:rFonts w:cs="Arial"/>
                <w:color w:val="auto"/>
              </w:rPr>
              <w:t xml:space="preserve"> and other intangible assets related to digital innovation and cyber</w:t>
            </w:r>
            <w:r w:rsidR="000873BE" w:rsidRPr="00D41CBE">
              <w:rPr>
                <w:rFonts w:cs="Arial"/>
                <w:color w:val="auto"/>
              </w:rPr>
              <w:t xml:space="preserve"> security</w:t>
            </w:r>
            <w:r w:rsidRPr="00D41CBE">
              <w:rPr>
                <w:rFonts w:cs="Arial"/>
                <w:color w:val="auto"/>
              </w:rPr>
              <w:t xml:space="preserve"> </w:t>
            </w:r>
            <w:r w:rsidR="00C63BF0" w:rsidRPr="00D41CBE">
              <w:rPr>
                <w:rFonts w:cs="Arial"/>
                <w:color w:val="auto"/>
              </w:rPr>
              <w:t xml:space="preserve">plus </w:t>
            </w:r>
            <w:r w:rsidRPr="00D41CBE">
              <w:rPr>
                <w:rFonts w:cs="Arial"/>
                <w:color w:val="auto"/>
              </w:rPr>
              <w:t>the strategic objectives for the System.</w:t>
            </w:r>
          </w:p>
          <w:p w14:paraId="6490E98A" w14:textId="17D69432" w:rsidR="002141D0" w:rsidRPr="00D41CBE" w:rsidRDefault="002141D0" w:rsidP="001A0D29">
            <w:pPr>
              <w:rPr>
                <w:b/>
                <w:bCs/>
                <w:color w:val="auto"/>
              </w:rPr>
            </w:pPr>
            <w:r w:rsidRPr="00D41CBE">
              <w:rPr>
                <w:b/>
                <w:bCs/>
                <w:color w:val="auto"/>
              </w:rPr>
              <w:t>About Gloucestershire</w:t>
            </w:r>
          </w:p>
          <w:p w14:paraId="6DA8B867" w14:textId="003B512A" w:rsidR="005802AA" w:rsidRPr="00D41CBE" w:rsidRDefault="005802AA" w:rsidP="001A0D29">
            <w:pPr>
              <w:rPr>
                <w:color w:val="auto"/>
              </w:rPr>
            </w:pPr>
            <w:r w:rsidRPr="00D41CBE">
              <w:rPr>
                <w:color w:val="auto"/>
              </w:rPr>
              <w:t>NHS Gloucestershire Integrated Care Board (ICB) has recently clustered with Bristol, North Somerset and South Gloucestershire ICB. Within the Cluster, Gloucestershire had a population of 652,000 people in 2022 – expected to rise to 766,000 by 2047.</w:t>
            </w:r>
          </w:p>
          <w:p w14:paraId="0AEEF59F" w14:textId="04F1326D" w:rsidR="005802AA" w:rsidRPr="00D41CBE" w:rsidRDefault="005802AA" w:rsidP="001A0D29">
            <w:pPr>
              <w:rPr>
                <w:color w:val="auto"/>
              </w:rPr>
            </w:pPr>
            <w:r w:rsidRPr="00D41CBE">
              <w:rPr>
                <w:color w:val="auto"/>
              </w:rPr>
              <w:t>The Gloucestershire health and care system is relatively coterminous with one County Council (Gloucestershire County Council, one Acute Hospital, Gloucestershire Hospitals’ Foundation Trust (operating across two sites in Gloucester City and Cheltenham) and one Community and Mental Health services provider, Gloucestershire Health &amp; Care Foundation Trust (GHC). In 2026 Gloucestershire is currently going through Local Government Reorganisation so the Local Authority design in the County is subject to change.</w:t>
            </w:r>
          </w:p>
          <w:p w14:paraId="3474BD26" w14:textId="77777777" w:rsidR="00D17EDA" w:rsidRPr="00D41CBE" w:rsidRDefault="00D17EDA" w:rsidP="001A0D29">
            <w:pPr>
              <w:rPr>
                <w:color w:val="auto"/>
              </w:rPr>
            </w:pPr>
            <w:r w:rsidRPr="00D41CBE">
              <w:rPr>
                <w:color w:val="auto"/>
              </w:rPr>
              <w:t xml:space="preserve">Like many other areas in the country, Gloucestershire is experiencing significant change. We published our </w:t>
            </w:r>
            <w:hyperlink r:id="rId11" w:history="1">
              <w:r w:rsidRPr="00D41CBE">
                <w:rPr>
                  <w:rStyle w:val="Hyperlink"/>
                  <w:rFonts w:ascii="Arial" w:hAnsi="Arial"/>
                  <w:color w:val="auto"/>
                </w:rPr>
                <w:t>Integrated Needs Assessment</w:t>
              </w:r>
            </w:hyperlink>
            <w:r w:rsidRPr="00D41CBE">
              <w:rPr>
                <w:color w:val="auto"/>
              </w:rPr>
              <w:t xml:space="preserve"> in March 2026 which describes these changes. </w:t>
            </w:r>
            <w:r w:rsidRPr="00D41CBE">
              <w:rPr>
                <w:b/>
                <w:bCs/>
                <w:color w:val="auto"/>
              </w:rPr>
              <w:t>This describes five key themes:</w:t>
            </w:r>
          </w:p>
          <w:p w14:paraId="5C368971" w14:textId="2A4D27A9" w:rsidR="00D17EDA" w:rsidRPr="00D41CBE" w:rsidRDefault="00D17EDA" w:rsidP="001A0D29">
            <w:pPr>
              <w:rPr>
                <w:color w:val="auto"/>
              </w:rPr>
            </w:pPr>
            <w:r w:rsidRPr="00D41CBE">
              <w:rPr>
                <w:b/>
                <w:bCs/>
                <w:color w:val="auto"/>
              </w:rPr>
              <w:t>1). Whilst Gloucestershire is a comparatively healthy county, the population is growing and ageing</w:t>
            </w:r>
            <w:r w:rsidRPr="00D41CBE">
              <w:rPr>
                <w:color w:val="auto"/>
              </w:rPr>
              <w:t xml:space="preserve">: We expect to see a 17.5% increase in the resident population of the County from 2022 to 2047 (growing by almost 114,000 population). This is significantly higher than England (12.7%) with the increase primarily caused by inward migration into Gloucestershire. If all housing targets are delivered this will be equivalent to adding two additional towns into the County (current housing targets are for an additional 85,500 homes by 2043). Highest growth will be amongst people over the age of 65 with a projected increase of 43% from 2022 to 2047 (111% growth for people over the age of 85). </w:t>
            </w:r>
          </w:p>
          <w:p w14:paraId="36204DA2" w14:textId="73854280" w:rsidR="00D17EDA" w:rsidRPr="00D41CBE" w:rsidRDefault="00D17EDA" w:rsidP="001A0D29">
            <w:pPr>
              <w:rPr>
                <w:color w:val="auto"/>
              </w:rPr>
            </w:pPr>
            <w:r w:rsidRPr="00D41CBE">
              <w:rPr>
                <w:b/>
                <w:bCs/>
                <w:color w:val="auto"/>
              </w:rPr>
              <w:t>2). As people age, more people in the County will have long-term conditions. However, how we age is as important as how long we live</w:t>
            </w:r>
            <w:r w:rsidRPr="00D41CBE">
              <w:rPr>
                <w:color w:val="auto"/>
              </w:rPr>
              <w:t xml:space="preserve">: The impact of ageing will mean that the prevalence of long-term conditions will increase. Our population health modelling shows that the greatest growth will be amongst people with the highest health needs – older people living with frailty as well as people living with multiple long-term conditions. However, the rate of growth is not inevitable – 1/5 of deaths in England are avoidable and 65% of these could be prevented by public health measures and 35% treatable with timely and effective healthcare. </w:t>
            </w:r>
          </w:p>
          <w:p w14:paraId="64460ABF" w14:textId="64E71A92" w:rsidR="00D17EDA" w:rsidRPr="00D41CBE" w:rsidRDefault="00D17EDA" w:rsidP="001A0D29">
            <w:pPr>
              <w:rPr>
                <w:color w:val="auto"/>
              </w:rPr>
            </w:pPr>
            <w:r w:rsidRPr="00D41CBE">
              <w:rPr>
                <w:b/>
                <w:bCs/>
                <w:color w:val="auto"/>
              </w:rPr>
              <w:t>3). Some groups of people experience worse health outcomes than others, leading to inequity across the County</w:t>
            </w:r>
            <w:r w:rsidRPr="00D41CBE">
              <w:rPr>
                <w:color w:val="auto"/>
              </w:rPr>
              <w:t>:</w:t>
            </w:r>
            <w:r w:rsidR="00277A8D" w:rsidRPr="00D41CBE">
              <w:rPr>
                <w:color w:val="auto"/>
              </w:rPr>
              <w:t xml:space="preserve"> Whilst the county overall is healthy there is variation in health outcomes for different groups of people. In 2025 Gloucestershire had 12 local areas in the top 10% of deprived areas in the country. Life expectancy differs at birth by 8 years for men and 7 years for women between the most and least deprived areas in the County – driven predominantly by circulatory, cancer and respiratory disease. As people get older, our population health modelling shows that people in the more deprived areas of Gloucestershire fall into poorer health faster than those living in more affluent areas.</w:t>
            </w:r>
          </w:p>
          <w:p w14:paraId="410A240B" w14:textId="640E622E" w:rsidR="00D17EDA" w:rsidRPr="00D41CBE" w:rsidRDefault="00D17EDA" w:rsidP="001A0D29">
            <w:pPr>
              <w:rPr>
                <w:color w:val="auto"/>
              </w:rPr>
            </w:pPr>
            <w:r w:rsidRPr="00D41CBE">
              <w:rPr>
                <w:b/>
                <w:bCs/>
                <w:color w:val="auto"/>
              </w:rPr>
              <w:t>4). Health and care services perform well, but rising demand (particularly from people with complex needs) creates pressure</w:t>
            </w:r>
            <w:r w:rsidRPr="00D41CBE">
              <w:rPr>
                <w:color w:val="auto"/>
              </w:rPr>
              <w:t>:</w:t>
            </w:r>
            <w:r w:rsidR="00277A8D" w:rsidRPr="00D41CBE">
              <w:rPr>
                <w:color w:val="auto"/>
              </w:rPr>
              <w:t xml:space="preserve"> Many NHS commissioned services already perform and benchmark well to others such as performance in primary care and planned (elective) care. Despite improvements, with increasing demand and/or workforce challenges, this will create pressure in the future. We are already seeing increased demand for primary care, diagnostics, urgent care and community services for example. As health worsens the demand for healthcare increases (e.g. people in good health have 2-3 contacts per person per year compared to 15-20 for people in poorer health groups).  </w:t>
            </w:r>
          </w:p>
          <w:p w14:paraId="78C89DE1" w14:textId="54A6665E" w:rsidR="00D17EDA" w:rsidRPr="00D41CBE" w:rsidRDefault="00D17EDA" w:rsidP="001A0D29">
            <w:pPr>
              <w:rPr>
                <w:color w:val="auto"/>
              </w:rPr>
            </w:pPr>
            <w:r w:rsidRPr="00D41CBE">
              <w:rPr>
                <w:b/>
                <w:bCs/>
                <w:color w:val="auto"/>
              </w:rPr>
              <w:t>5). These changes demographic patterns mean that continuing to deliver care in the same way will not be sustainable to meet future need</w:t>
            </w:r>
            <w:r w:rsidRPr="00D41CBE">
              <w:rPr>
                <w:color w:val="auto"/>
              </w:rPr>
              <w:t xml:space="preserve">:  </w:t>
            </w:r>
            <w:r w:rsidR="00277A8D" w:rsidRPr="00D41CBE">
              <w:rPr>
                <w:color w:val="auto"/>
              </w:rPr>
              <w:t xml:space="preserve">It is evident that we must change the way we deliver health and care services to address the challenges the County is facing. Our </w:t>
            </w:r>
            <w:hyperlink r:id="rId12" w:history="1">
              <w:r w:rsidR="00277A8D" w:rsidRPr="00D41CBE">
                <w:rPr>
                  <w:rStyle w:val="Hyperlink"/>
                  <w:rFonts w:ascii="Arial" w:hAnsi="Arial"/>
                  <w:color w:val="auto"/>
                </w:rPr>
                <w:t>Population Health and Strategic Commissioning Plan</w:t>
              </w:r>
            </w:hyperlink>
            <w:r w:rsidR="00277A8D" w:rsidRPr="00D41CBE">
              <w:rPr>
                <w:color w:val="auto"/>
              </w:rPr>
              <w:t xml:space="preserve"> sets out our commissioning priorities over the next 5 years. Our capital plan will support delivery of these priorities.</w:t>
            </w:r>
          </w:p>
          <w:p w14:paraId="78B133EA" w14:textId="77777777" w:rsidR="002141D0" w:rsidRPr="00D41CBE" w:rsidRDefault="002141D0" w:rsidP="001A0D29">
            <w:pPr>
              <w:rPr>
                <w:b/>
                <w:bCs/>
                <w:color w:val="auto"/>
              </w:rPr>
            </w:pPr>
          </w:p>
          <w:p w14:paraId="261D60E3" w14:textId="40D9A58F" w:rsidR="00277A8D" w:rsidRPr="00D41CBE" w:rsidRDefault="002141D0" w:rsidP="001A0D29">
            <w:pPr>
              <w:rPr>
                <w:color w:val="auto"/>
              </w:rPr>
            </w:pPr>
            <w:r w:rsidRPr="00D41CBE">
              <w:rPr>
                <w:b/>
                <w:bCs/>
                <w:color w:val="auto"/>
              </w:rPr>
              <w:t>About our 5 Year Strategic Plan</w:t>
            </w:r>
            <w:r w:rsidR="00277A8D" w:rsidRPr="00D41CBE">
              <w:rPr>
                <w:b/>
                <w:bCs/>
                <w:color w:val="auto"/>
              </w:rPr>
              <w:t>:</w:t>
            </w:r>
          </w:p>
          <w:p w14:paraId="588BBD79" w14:textId="36CA6F86" w:rsidR="00D17EDA" w:rsidRPr="00D41CBE" w:rsidRDefault="00277A8D" w:rsidP="001A0D29">
            <w:pPr>
              <w:rPr>
                <w:color w:val="auto"/>
              </w:rPr>
            </w:pPr>
            <w:r w:rsidRPr="00D41CBE">
              <w:rPr>
                <w:color w:val="auto"/>
              </w:rPr>
              <w:t>Within our Plan we have established three strategic priorities that will underpin how we commission and deliver health and care services across both Gloucestershire and Bristol, North Somerset and South Gloucestershire:</w:t>
            </w:r>
          </w:p>
          <w:p w14:paraId="065C1C2D" w14:textId="1299D7C2" w:rsidR="00277A8D" w:rsidRPr="00D41CBE" w:rsidRDefault="00277A8D" w:rsidP="001A0D29">
            <w:pPr>
              <w:rPr>
                <w:color w:val="auto"/>
              </w:rPr>
            </w:pPr>
            <w:r w:rsidRPr="00D41CBE">
              <w:rPr>
                <w:noProof/>
                <w:color w:val="auto"/>
              </w:rPr>
              <w:drawing>
                <wp:inline distT="0" distB="0" distL="0" distR="0" wp14:anchorId="32F6E3BA" wp14:editId="448B1D87">
                  <wp:extent cx="6263640" cy="1096010"/>
                  <wp:effectExtent l="0" t="0" r="3810" b="8890"/>
                  <wp:docPr id="1021308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08856" name=""/>
                          <pic:cNvPicPr/>
                        </pic:nvPicPr>
                        <pic:blipFill>
                          <a:blip r:embed="rId13"/>
                          <a:stretch>
                            <a:fillRect/>
                          </a:stretch>
                        </pic:blipFill>
                        <pic:spPr>
                          <a:xfrm>
                            <a:off x="0" y="0"/>
                            <a:ext cx="6263640" cy="1096010"/>
                          </a:xfrm>
                          <a:prstGeom prst="rect">
                            <a:avLst/>
                          </a:prstGeom>
                        </pic:spPr>
                      </pic:pic>
                    </a:graphicData>
                  </a:graphic>
                </wp:inline>
              </w:drawing>
            </w:r>
          </w:p>
          <w:p w14:paraId="4B5626BD" w14:textId="116A1709" w:rsidR="00277A8D" w:rsidRPr="00D41CBE" w:rsidRDefault="00277A8D" w:rsidP="001A0D29">
            <w:pPr>
              <w:rPr>
                <w:color w:val="auto"/>
              </w:rPr>
            </w:pPr>
            <w:r w:rsidRPr="00D41CBE">
              <w:rPr>
                <w:color w:val="auto"/>
              </w:rPr>
              <w:t>This is supported by three conditions for success:</w:t>
            </w:r>
          </w:p>
          <w:p w14:paraId="41A9FA51" w14:textId="356DC38D" w:rsidR="00277A8D" w:rsidRPr="00D41CBE" w:rsidRDefault="00277A8D" w:rsidP="001A0D29">
            <w:pPr>
              <w:rPr>
                <w:color w:val="auto"/>
              </w:rPr>
            </w:pPr>
            <w:r w:rsidRPr="00D41CBE">
              <w:rPr>
                <w:noProof/>
                <w:color w:val="auto"/>
              </w:rPr>
              <w:drawing>
                <wp:inline distT="0" distB="0" distL="0" distR="0" wp14:anchorId="4EF3B79D" wp14:editId="76D7CF22">
                  <wp:extent cx="6263640" cy="1145540"/>
                  <wp:effectExtent l="0" t="0" r="3810" b="0"/>
                  <wp:docPr id="388821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21490" name=""/>
                          <pic:cNvPicPr/>
                        </pic:nvPicPr>
                        <pic:blipFill>
                          <a:blip r:embed="rId14"/>
                          <a:stretch>
                            <a:fillRect/>
                          </a:stretch>
                        </pic:blipFill>
                        <pic:spPr>
                          <a:xfrm>
                            <a:off x="0" y="0"/>
                            <a:ext cx="6263640" cy="1145540"/>
                          </a:xfrm>
                          <a:prstGeom prst="rect">
                            <a:avLst/>
                          </a:prstGeom>
                        </pic:spPr>
                      </pic:pic>
                    </a:graphicData>
                  </a:graphic>
                </wp:inline>
              </w:drawing>
            </w:r>
          </w:p>
          <w:p w14:paraId="0D0FCD0A" w14:textId="32B34521" w:rsidR="00277A8D" w:rsidRPr="00D41CBE" w:rsidRDefault="002141D0" w:rsidP="001A0D29">
            <w:pPr>
              <w:rPr>
                <w:color w:val="auto"/>
              </w:rPr>
            </w:pPr>
            <w:r w:rsidRPr="00D41CBE">
              <w:rPr>
                <w:color w:val="auto"/>
              </w:rPr>
              <w:t>We will prioritise the following four areas which our commissioning intentions are based:</w:t>
            </w:r>
          </w:p>
          <w:p w14:paraId="1853B2AA" w14:textId="251F08AE" w:rsidR="002141D0" w:rsidRPr="00D41CBE" w:rsidRDefault="002141D0" w:rsidP="001A0D29">
            <w:pPr>
              <w:rPr>
                <w:color w:val="auto"/>
              </w:rPr>
            </w:pPr>
            <w:r w:rsidRPr="00D41CBE">
              <w:rPr>
                <w:b/>
                <w:bCs/>
                <w:color w:val="auto"/>
              </w:rPr>
              <w:t xml:space="preserve">1). Supporting people at stay healthy </w:t>
            </w:r>
            <w:r w:rsidRPr="00D41CBE">
              <w:rPr>
                <w:b/>
                <w:bCs/>
                <w:color w:val="auto"/>
                <w:u w:val="single"/>
              </w:rPr>
              <w:t>at home</w:t>
            </w:r>
            <w:r w:rsidRPr="00D41CBE">
              <w:rPr>
                <w:color w:val="auto"/>
              </w:rPr>
              <w:t xml:space="preserve">: We will play our part in creating the conditions that enable people to adopt healthy behaviours as well as taking action to detect and prevent disease/illness at an earlier stage. Community Pharmacies, General Practice and digital access all have important roles to play in supporting this priority. </w:t>
            </w:r>
          </w:p>
          <w:p w14:paraId="7EB56BA9" w14:textId="26988A0E" w:rsidR="002141D0" w:rsidRPr="00D41CBE" w:rsidRDefault="002141D0" w:rsidP="002141D0">
            <w:pPr>
              <w:rPr>
                <w:color w:val="auto"/>
              </w:rPr>
            </w:pPr>
            <w:r w:rsidRPr="00D41CBE">
              <w:rPr>
                <w:b/>
                <w:bCs/>
                <w:color w:val="auto"/>
              </w:rPr>
              <w:t xml:space="preserve">2). Proactive personalised high-quality care in </w:t>
            </w:r>
            <w:r w:rsidRPr="00D41CBE">
              <w:rPr>
                <w:b/>
                <w:bCs/>
                <w:color w:val="auto"/>
                <w:u w:val="single"/>
              </w:rPr>
              <w:t>Neighbourhoods</w:t>
            </w:r>
            <w:r w:rsidRPr="00D41CBE">
              <w:rPr>
                <w:b/>
                <w:bCs/>
                <w:color w:val="auto"/>
              </w:rPr>
              <w:t xml:space="preserve"> for people with rising risk</w:t>
            </w:r>
            <w:r w:rsidRPr="00D41CBE">
              <w:rPr>
                <w:color w:val="auto"/>
              </w:rPr>
              <w:t xml:space="preserve">: In line with the </w:t>
            </w:r>
            <w:proofErr w:type="gramStart"/>
            <w:r w:rsidRPr="00D41CBE">
              <w:rPr>
                <w:color w:val="auto"/>
              </w:rPr>
              <w:t>10 year</w:t>
            </w:r>
            <w:proofErr w:type="gramEnd"/>
            <w:r w:rsidRPr="00D41CBE">
              <w:rPr>
                <w:color w:val="auto"/>
              </w:rPr>
              <w:t xml:space="preserve"> health </w:t>
            </w:r>
            <w:proofErr w:type="gramStart"/>
            <w:r w:rsidRPr="00D41CBE">
              <w:rPr>
                <w:color w:val="auto"/>
              </w:rPr>
              <w:t>plan</w:t>
            </w:r>
            <w:proofErr w:type="gramEnd"/>
            <w:r w:rsidRPr="00D41CBE">
              <w:rPr>
                <w:color w:val="auto"/>
              </w:rPr>
              <w:t xml:space="preserve"> we will continue to prioritise Neighbourhood Health based around Primary Care Network geographies (30-50,000 people). A key feature will be the development of Integrated Neighbourhood Teams, bringing together people from across organisations to deliver proactive care – including the development of Neighbourhood Health and Care Centres.</w:t>
            </w:r>
          </w:p>
          <w:p w14:paraId="6B13A95C" w14:textId="12F8430C" w:rsidR="002141D0" w:rsidRPr="00D41CBE" w:rsidRDefault="002141D0" w:rsidP="002141D0">
            <w:pPr>
              <w:rPr>
                <w:color w:val="auto"/>
              </w:rPr>
            </w:pPr>
            <w:r w:rsidRPr="00D41CBE">
              <w:rPr>
                <w:b/>
                <w:bCs/>
                <w:color w:val="auto"/>
              </w:rPr>
              <w:t xml:space="preserve">3). Specialist and high-quality care and support across </w:t>
            </w:r>
            <w:r w:rsidRPr="00D41CBE">
              <w:rPr>
                <w:b/>
                <w:bCs/>
                <w:color w:val="auto"/>
                <w:u w:val="single"/>
              </w:rPr>
              <w:t>multiple Neighbourhoods</w:t>
            </w:r>
            <w:r w:rsidRPr="00D41CBE">
              <w:rPr>
                <w:b/>
                <w:bCs/>
                <w:color w:val="auto"/>
              </w:rPr>
              <w:t>:</w:t>
            </w:r>
            <w:r w:rsidRPr="00D41CBE">
              <w:rPr>
                <w:color w:val="auto"/>
              </w:rPr>
              <w:t xml:space="preserve"> We will deliver commitments to move more care outside of hospital. Step up and </w:t>
            </w:r>
            <w:proofErr w:type="gramStart"/>
            <w:r w:rsidRPr="00D41CBE">
              <w:rPr>
                <w:color w:val="auto"/>
              </w:rPr>
              <w:t>step down</w:t>
            </w:r>
            <w:proofErr w:type="gramEnd"/>
            <w:r w:rsidRPr="00D41CBE">
              <w:rPr>
                <w:color w:val="auto"/>
              </w:rPr>
              <w:t xml:space="preserve"> care will help people avoid a mental health or physical health admission – as well as helping people back to independence after a stay in hospital. </w:t>
            </w:r>
          </w:p>
          <w:p w14:paraId="7F02D7D6" w14:textId="17598B94" w:rsidR="00277A8D" w:rsidRPr="00D41CBE" w:rsidRDefault="002141D0" w:rsidP="001A0D29">
            <w:pPr>
              <w:rPr>
                <w:color w:val="auto"/>
              </w:rPr>
            </w:pPr>
            <w:r w:rsidRPr="00D41CBE">
              <w:rPr>
                <w:b/>
                <w:bCs/>
                <w:color w:val="auto"/>
              </w:rPr>
              <w:t xml:space="preserve">4). More streamlined secondary care services that enable high quality care </w:t>
            </w:r>
            <w:r w:rsidRPr="00D41CBE">
              <w:rPr>
                <w:b/>
                <w:bCs/>
                <w:color w:val="auto"/>
                <w:u w:val="single"/>
              </w:rPr>
              <w:t>across the County:</w:t>
            </w:r>
            <w:r w:rsidRPr="00D41CBE">
              <w:rPr>
                <w:color w:val="auto"/>
                <w:u w:val="single"/>
              </w:rPr>
              <w:t xml:space="preserve"> </w:t>
            </w:r>
            <w:r w:rsidRPr="00D41CBE">
              <w:rPr>
                <w:color w:val="auto"/>
              </w:rPr>
              <w:t xml:space="preserve">It is appropriate for some services to be delivered in more central locations in the County – people tell us they are willing to travel for specialist care and treatment. These specialist care settings will be streamlined, whilst also protecting people during an emergency or crisis. </w:t>
            </w:r>
          </w:p>
          <w:p w14:paraId="7A84199B" w14:textId="2AF10BB8" w:rsidR="002141D0" w:rsidRPr="00D41CBE" w:rsidRDefault="002141D0" w:rsidP="001A0D29">
            <w:pPr>
              <w:rPr>
                <w:b/>
                <w:bCs/>
                <w:color w:val="auto"/>
              </w:rPr>
            </w:pPr>
            <w:r w:rsidRPr="00D41CBE">
              <w:rPr>
                <w:b/>
                <w:bCs/>
                <w:color w:val="auto"/>
              </w:rPr>
              <w:t>The Role of Health Infrastructure</w:t>
            </w:r>
          </w:p>
          <w:p w14:paraId="478F88C5" w14:textId="4CCFE1CF" w:rsidR="002141D0" w:rsidRPr="00D41CBE" w:rsidRDefault="002141D0" w:rsidP="002141D0">
            <w:pPr>
              <w:rPr>
                <w:rFonts w:cs="Arial"/>
                <w:color w:val="auto"/>
              </w:rPr>
            </w:pPr>
            <w:r w:rsidRPr="00D41CBE">
              <w:rPr>
                <w:rFonts w:cs="Arial"/>
                <w:b/>
                <w:bCs/>
                <w:color w:val="auto"/>
              </w:rPr>
              <w:t>Healthcare infrastructure</w:t>
            </w:r>
            <w:r w:rsidRPr="00D41CBE">
              <w:rPr>
                <w:rFonts w:cs="Arial"/>
                <w:color w:val="auto"/>
              </w:rPr>
              <w:t xml:space="preserve"> will support the delivery of the priorities described above. Our estate will need to change and evolve as we increasingly see teams coming together within Neighbourhoods to provide proactive care alongside enabling greater step-up and step-down support for patients. Alongside this, digitally enabled care pathways will improve care and support for patients, staff and others working in the NHS and wider health and care system. </w:t>
            </w:r>
          </w:p>
          <w:p w14:paraId="204DE50D" w14:textId="25479F04" w:rsidR="00355691" w:rsidRPr="00D41CBE" w:rsidRDefault="00327E3E" w:rsidP="00327E3E">
            <w:pPr>
              <w:rPr>
                <w:rFonts w:cs="Arial"/>
                <w:color w:val="auto"/>
              </w:rPr>
            </w:pPr>
            <w:r w:rsidRPr="00D41CBE">
              <w:rPr>
                <w:rFonts w:cs="Arial"/>
                <w:color w:val="auto"/>
              </w:rPr>
              <w:t xml:space="preserve">The ICS </w:t>
            </w:r>
            <w:r w:rsidR="00971C24" w:rsidRPr="00D41CBE">
              <w:rPr>
                <w:rFonts w:cs="Arial"/>
                <w:color w:val="auto"/>
              </w:rPr>
              <w:t>approved</w:t>
            </w:r>
            <w:r w:rsidRPr="00D41CBE">
              <w:rPr>
                <w:rFonts w:cs="Arial"/>
                <w:color w:val="auto"/>
              </w:rPr>
              <w:t xml:space="preserve"> an infrastructure plan to respond to the needs for the system in the future and help prioritise constrained resources.</w:t>
            </w:r>
            <w:r w:rsidR="006064D4" w:rsidRPr="00D41CBE">
              <w:rPr>
                <w:rFonts w:cs="Arial"/>
                <w:color w:val="auto"/>
              </w:rPr>
              <w:t xml:space="preserve">  </w:t>
            </w:r>
            <w:r w:rsidR="00355691" w:rsidRPr="00D41CBE">
              <w:rPr>
                <w:rFonts w:cs="Arial"/>
                <w:color w:val="auto"/>
              </w:rPr>
              <w:t xml:space="preserve">go </w:t>
            </w:r>
            <w:hyperlink r:id="rId15" w:history="1">
              <w:r w:rsidR="00355691" w:rsidRPr="00D41CBE">
                <w:rPr>
                  <w:rStyle w:val="Hyperlink"/>
                  <w:rFonts w:ascii="Arial" w:hAnsi="Arial" w:cs="Arial"/>
                  <w:color w:val="auto"/>
                </w:rPr>
                <w:t>https://www.nhsglos.nhs.uk/wp-content/uploads/2025/06/AI-13.1-Gloucs-ICS-Infrastructure-Strategy-Summary-Version-May-2025-Final.pdf</w:t>
              </w:r>
            </w:hyperlink>
          </w:p>
          <w:p w14:paraId="2561521B" w14:textId="7CA6A67C" w:rsidR="00327E3E" w:rsidRPr="00D41CBE" w:rsidRDefault="006064D4" w:rsidP="00327E3E">
            <w:pPr>
              <w:rPr>
                <w:rFonts w:cs="Arial"/>
                <w:color w:val="auto"/>
              </w:rPr>
            </w:pPr>
            <w:r w:rsidRPr="00D41CBE">
              <w:rPr>
                <w:rFonts w:cs="Arial"/>
                <w:color w:val="auto"/>
              </w:rPr>
              <w:t>Within the document, we have set out our vision for infrastructure:</w:t>
            </w:r>
          </w:p>
          <w:p w14:paraId="389F6FB6" w14:textId="4F6211DA" w:rsidR="006064D4" w:rsidRPr="00D41CBE" w:rsidRDefault="006064D4" w:rsidP="00327E3E">
            <w:pPr>
              <w:rPr>
                <w:rFonts w:cs="Arial"/>
                <w:i/>
                <w:iCs/>
                <w:color w:val="auto"/>
              </w:rPr>
            </w:pPr>
            <w:r w:rsidRPr="00D41CBE">
              <w:rPr>
                <w:rFonts w:cs="Arial"/>
                <w:i/>
                <w:iCs/>
                <w:color w:val="auto"/>
              </w:rPr>
              <w:t xml:space="preserve">Our visions </w:t>
            </w:r>
            <w:proofErr w:type="gramStart"/>
            <w:r w:rsidRPr="00D41CBE">
              <w:rPr>
                <w:rFonts w:cs="Arial"/>
                <w:i/>
                <w:iCs/>
                <w:color w:val="auto"/>
              </w:rPr>
              <w:t>is</w:t>
            </w:r>
            <w:proofErr w:type="gramEnd"/>
            <w:r w:rsidRPr="00D41CBE">
              <w:rPr>
                <w:rFonts w:cs="Arial"/>
                <w:i/>
                <w:iCs/>
                <w:color w:val="auto"/>
              </w:rPr>
              <w:t xml:space="preserve"> for sustainable infrastructure that supports our journey towards net zero carbon and enables the delivery of our </w:t>
            </w:r>
            <w:r w:rsidR="00D17EDA" w:rsidRPr="00D41CBE">
              <w:rPr>
                <w:rFonts w:cs="Arial"/>
                <w:i/>
                <w:iCs/>
                <w:color w:val="auto"/>
              </w:rPr>
              <w:t>5 Year Population Health and Strategic Commissioning Plan</w:t>
            </w:r>
            <w:r w:rsidRPr="00D41CBE">
              <w:rPr>
                <w:rFonts w:cs="Arial"/>
                <w:i/>
                <w:iCs/>
                <w:color w:val="auto"/>
              </w:rPr>
              <w:t xml:space="preserve"> and Joint Health and Wellbeing Strategy</w:t>
            </w:r>
          </w:p>
          <w:p w14:paraId="0BC22B8C" w14:textId="77777777" w:rsidR="00971C24" w:rsidRPr="00D41CBE" w:rsidRDefault="00971C24" w:rsidP="00971C24">
            <w:pPr>
              <w:contextualSpacing/>
              <w:jc w:val="both"/>
              <w:rPr>
                <w:rFonts w:cs="Arial"/>
                <w:color w:val="auto"/>
              </w:rPr>
            </w:pPr>
            <w:r w:rsidRPr="00D41CBE">
              <w:rPr>
                <w:rFonts w:cs="Arial"/>
                <w:color w:val="auto"/>
              </w:rPr>
              <w:t>Our infrastructure must:</w:t>
            </w:r>
          </w:p>
          <w:p w14:paraId="330D5D85" w14:textId="77777777" w:rsidR="00971C24" w:rsidRPr="00D41CBE" w:rsidRDefault="00971C24" w:rsidP="00971C24">
            <w:pPr>
              <w:pStyle w:val="ListParagraph"/>
              <w:numPr>
                <w:ilvl w:val="0"/>
                <w:numId w:val="41"/>
              </w:numPr>
              <w:spacing w:after="0"/>
              <w:contextualSpacing/>
              <w:jc w:val="both"/>
              <w:rPr>
                <w:rFonts w:cs="Arial"/>
                <w:color w:val="auto"/>
              </w:rPr>
            </w:pPr>
            <w:r w:rsidRPr="00D41CBE">
              <w:rPr>
                <w:rFonts w:cs="Arial"/>
                <w:color w:val="auto"/>
              </w:rPr>
              <w:t>be affordable and demonstrate value for money;</w:t>
            </w:r>
          </w:p>
          <w:p w14:paraId="6F6C7BA5" w14:textId="77777777" w:rsidR="00971C24" w:rsidRPr="00D41CBE" w:rsidRDefault="00971C24" w:rsidP="00971C24">
            <w:pPr>
              <w:pStyle w:val="ListParagraph"/>
              <w:numPr>
                <w:ilvl w:val="0"/>
                <w:numId w:val="41"/>
              </w:numPr>
              <w:spacing w:after="0"/>
              <w:contextualSpacing/>
              <w:jc w:val="both"/>
              <w:rPr>
                <w:rFonts w:cs="Arial"/>
                <w:color w:val="auto"/>
              </w:rPr>
            </w:pPr>
            <w:r w:rsidRPr="00D41CBE">
              <w:rPr>
                <w:rFonts w:cs="Arial"/>
                <w:color w:val="auto"/>
              </w:rPr>
              <w:t>support the delivery of:</w:t>
            </w:r>
          </w:p>
          <w:p w14:paraId="22C991FB" w14:textId="3056078D" w:rsidR="00971C24" w:rsidRPr="00D41CBE" w:rsidRDefault="00971C24" w:rsidP="00971C24">
            <w:pPr>
              <w:pStyle w:val="ListParagraph"/>
              <w:numPr>
                <w:ilvl w:val="1"/>
                <w:numId w:val="41"/>
              </w:numPr>
              <w:spacing w:after="0"/>
              <w:contextualSpacing/>
              <w:jc w:val="both"/>
              <w:rPr>
                <w:rFonts w:cs="Arial"/>
                <w:color w:val="auto"/>
              </w:rPr>
            </w:pPr>
            <w:r w:rsidRPr="00D41CBE">
              <w:rPr>
                <w:rFonts w:cs="Arial"/>
                <w:color w:val="auto"/>
              </w:rPr>
              <w:t>our focus on early prevention and the wider impacts on health</w:t>
            </w:r>
          </w:p>
          <w:p w14:paraId="29F21BC8" w14:textId="77777777" w:rsidR="00971C24" w:rsidRPr="00D41CBE" w:rsidRDefault="00971C24" w:rsidP="00971C24">
            <w:pPr>
              <w:pStyle w:val="ListParagraph"/>
              <w:numPr>
                <w:ilvl w:val="1"/>
                <w:numId w:val="41"/>
              </w:numPr>
              <w:spacing w:after="0"/>
              <w:contextualSpacing/>
              <w:jc w:val="both"/>
              <w:rPr>
                <w:rFonts w:cs="Arial"/>
                <w:color w:val="auto"/>
              </w:rPr>
            </w:pPr>
            <w:r w:rsidRPr="00D41CBE">
              <w:rPr>
                <w:rFonts w:cs="Arial"/>
                <w:color w:val="auto"/>
              </w:rPr>
              <w:t>accessible, joined up and integrated care in our communities, including the home; and</w:t>
            </w:r>
          </w:p>
          <w:p w14:paraId="48209A14" w14:textId="77777777" w:rsidR="00971C24" w:rsidRPr="00D41CBE" w:rsidRDefault="00971C24" w:rsidP="00971C24">
            <w:pPr>
              <w:pStyle w:val="ListParagraph"/>
              <w:numPr>
                <w:ilvl w:val="1"/>
                <w:numId w:val="41"/>
              </w:numPr>
              <w:contextualSpacing/>
              <w:jc w:val="both"/>
              <w:rPr>
                <w:rFonts w:cs="Arial"/>
                <w:color w:val="auto"/>
              </w:rPr>
            </w:pPr>
            <w:r w:rsidRPr="00D41CBE">
              <w:rPr>
                <w:rFonts w:cs="Arial"/>
                <w:color w:val="auto"/>
              </w:rPr>
              <w:t>specialised services in Cheltenham and Gloucester;</w:t>
            </w:r>
          </w:p>
          <w:p w14:paraId="62342969" w14:textId="77777777" w:rsidR="00971C24" w:rsidRPr="00D41CBE" w:rsidRDefault="00971C24" w:rsidP="00971C24">
            <w:pPr>
              <w:pStyle w:val="ListParagraph"/>
              <w:numPr>
                <w:ilvl w:val="0"/>
                <w:numId w:val="41"/>
              </w:numPr>
              <w:contextualSpacing/>
              <w:jc w:val="both"/>
              <w:rPr>
                <w:rFonts w:cs="Arial"/>
                <w:color w:val="auto"/>
              </w:rPr>
            </w:pPr>
            <w:r w:rsidRPr="00D41CBE">
              <w:rPr>
                <w:rFonts w:cs="Arial"/>
                <w:color w:val="auto"/>
              </w:rPr>
              <w:t>be well used, maintained and developed by our partners on a collaborative basis; and</w:t>
            </w:r>
          </w:p>
          <w:p w14:paraId="06259703" w14:textId="77777777" w:rsidR="00971C24" w:rsidRPr="00D41CBE" w:rsidRDefault="00971C24" w:rsidP="00971C24">
            <w:pPr>
              <w:pStyle w:val="ListParagraph"/>
              <w:numPr>
                <w:ilvl w:val="0"/>
                <w:numId w:val="41"/>
              </w:numPr>
              <w:contextualSpacing/>
              <w:jc w:val="both"/>
              <w:rPr>
                <w:rFonts w:cs="Arial"/>
                <w:color w:val="auto"/>
              </w:rPr>
            </w:pPr>
            <w:r w:rsidRPr="00D41CBE">
              <w:rPr>
                <w:rFonts w:cs="Arial"/>
                <w:color w:val="auto"/>
              </w:rPr>
              <w:t>provide a great environment for the people of Gloucestershire, including our workforce and patients.</w:t>
            </w:r>
          </w:p>
          <w:p w14:paraId="1A1E3369" w14:textId="77777777" w:rsidR="000840C2" w:rsidRPr="00D41CBE" w:rsidRDefault="000840C2" w:rsidP="00B83DE4">
            <w:pPr>
              <w:pStyle w:val="ListParagraph"/>
              <w:spacing w:after="0" w:line="240" w:lineRule="auto"/>
              <w:ind w:left="360" w:firstLine="0"/>
              <w:contextualSpacing/>
              <w:jc w:val="both"/>
              <w:textboxTightWrap w:val="none"/>
              <w:rPr>
                <w:rFonts w:cs="Arial"/>
                <w:color w:val="auto"/>
              </w:rPr>
            </w:pPr>
          </w:p>
          <w:p w14:paraId="016A243D" w14:textId="77777777" w:rsidR="00565C95" w:rsidRPr="00D41CBE" w:rsidRDefault="00565C95" w:rsidP="00565C95">
            <w:pPr>
              <w:pStyle w:val="Bulletlist"/>
              <w:framePr w:wrap="around"/>
              <w:rPr>
                <w:color w:val="auto"/>
              </w:rPr>
            </w:pPr>
            <w:r w:rsidRPr="00D41CBE">
              <w:rPr>
                <w:color w:val="auto"/>
              </w:rPr>
              <w:t>Gloucestershire has two acute hospital sites, one in Gloucester and one in Cheltenham, within this 96% of the estate is freehold (</w:t>
            </w:r>
            <w:proofErr w:type="spellStart"/>
            <w:r w:rsidRPr="00D41CBE">
              <w:rPr>
                <w:color w:val="auto"/>
              </w:rPr>
              <w:t>exl</w:t>
            </w:r>
            <w:proofErr w:type="spellEnd"/>
            <w:r w:rsidRPr="00D41CBE">
              <w:rPr>
                <w:color w:val="auto"/>
              </w:rPr>
              <w:t xml:space="preserve"> PFI).  GHFT has an existing PFI on the Gloucester Royal site.  The scheme is called Gloucester Hospitals Partnership and was instigated in April 2002 and runs for 31 years; this will cease in February 2034.  The PFI building houses the Emergency Department, three in-patient wards, an Endoscopy Unit, the Medicine SDEC Unit, Therapies and most of the Outpatient departments on the site.</w:t>
            </w:r>
          </w:p>
          <w:p w14:paraId="5FFCE39E" w14:textId="77777777" w:rsidR="00565C95" w:rsidRPr="00D41CBE" w:rsidRDefault="00565C95" w:rsidP="00565C95">
            <w:pPr>
              <w:pStyle w:val="Bulletlist"/>
              <w:framePr w:wrap="around"/>
              <w:rPr>
                <w:color w:val="auto"/>
              </w:rPr>
            </w:pPr>
          </w:p>
          <w:p w14:paraId="03B50BBB" w14:textId="77777777" w:rsidR="00565C95" w:rsidRPr="00D41CBE" w:rsidRDefault="00565C95" w:rsidP="00565C95">
            <w:pPr>
              <w:pStyle w:val="Bulletlist"/>
              <w:framePr w:wrap="around"/>
              <w:rPr>
                <w:color w:val="auto"/>
              </w:rPr>
            </w:pPr>
            <w:r w:rsidRPr="00D41CBE">
              <w:rPr>
                <w:color w:val="auto"/>
              </w:rPr>
              <w:t>The value of the building is £50,536,093 as at March 2026, with annual charges around £7.8m.  During 2025/26, the Trust and GMS progressed a range of capital schemes aimed at improving estate quality, capacity and compliance. Key developments included: commencing a new Department of Critical Care (off-site modular build), fire safety upgrades across the estate, completion of the Tower Block façade upgrade, and multiple clinical refurbishment schemes including pharmacy manufacturing, urology, ward upgrades and ophthalmology capacity.</w:t>
            </w:r>
          </w:p>
          <w:p w14:paraId="1FA73446" w14:textId="77777777" w:rsidR="00702B75" w:rsidRPr="00D41CBE" w:rsidRDefault="00702B75" w:rsidP="000840C2">
            <w:pPr>
              <w:rPr>
                <w:color w:val="auto"/>
              </w:rPr>
            </w:pPr>
            <w:r w:rsidRPr="00D41CBE">
              <w:rPr>
                <w:color w:val="auto"/>
              </w:rPr>
              <w:t xml:space="preserve">Gloucestershire Health &amp; Care NHS Foundation Trust operates six community hospitals, a learning disability unit and four mental health in patient units along with </w:t>
            </w:r>
            <w:proofErr w:type="gramStart"/>
            <w:r w:rsidRPr="00D41CBE">
              <w:rPr>
                <w:color w:val="auto"/>
              </w:rPr>
              <w:t>a number of</w:t>
            </w:r>
            <w:proofErr w:type="gramEnd"/>
            <w:r w:rsidRPr="00D41CBE">
              <w:rPr>
                <w:color w:val="auto"/>
              </w:rPr>
              <w:t xml:space="preserve"> outpatient and clinical hubs across the county.  </w:t>
            </w:r>
          </w:p>
          <w:p w14:paraId="0A055409" w14:textId="6AECF606" w:rsidR="000840C2" w:rsidRPr="00D41CBE" w:rsidRDefault="000840C2" w:rsidP="000840C2">
            <w:pPr>
              <w:rPr>
                <w:color w:val="auto"/>
              </w:rPr>
            </w:pPr>
            <w:r w:rsidRPr="00D41CBE">
              <w:rPr>
                <w:color w:val="auto"/>
              </w:rPr>
              <w:t>GP practices operate out of 84 sites across the county of which 38% are owned by GPs, the remainder are leasehold or owned or leased by NHS Property services.</w:t>
            </w:r>
          </w:p>
          <w:p w14:paraId="0975A188" w14:textId="77777777" w:rsidR="000840C2" w:rsidRPr="00D41CBE" w:rsidRDefault="000840C2" w:rsidP="000840C2">
            <w:pPr>
              <w:rPr>
                <w:color w:val="auto"/>
              </w:rPr>
            </w:pPr>
            <w:r w:rsidRPr="00D41CBE">
              <w:rPr>
                <w:color w:val="auto"/>
              </w:rPr>
              <w:t>Within the Gloucestershire estate we have a high level of backlog maintenance, the majority of which is within the GHFT estate:</w:t>
            </w:r>
          </w:p>
          <w:tbl>
            <w:tblPr>
              <w:tblStyle w:val="TableGrid"/>
              <w:tblW w:w="0" w:type="auto"/>
              <w:tblLook w:val="04A0" w:firstRow="1" w:lastRow="0" w:firstColumn="1" w:lastColumn="0" w:noHBand="0" w:noVBand="1"/>
            </w:tblPr>
            <w:tblGrid>
              <w:gridCol w:w="1944"/>
              <w:gridCol w:w="2034"/>
              <w:gridCol w:w="2016"/>
              <w:gridCol w:w="1817"/>
              <w:gridCol w:w="1817"/>
            </w:tblGrid>
            <w:tr w:rsidR="000840C2" w:rsidRPr="00D41CBE" w14:paraId="1FDFF578" w14:textId="77777777" w:rsidTr="00BB4465">
              <w:trPr>
                <w:trHeight w:val="1277"/>
              </w:trPr>
              <w:tc>
                <w:tcPr>
                  <w:tcW w:w="1944" w:type="dxa"/>
                </w:tcPr>
                <w:p w14:paraId="00C2A418" w14:textId="77777777" w:rsidR="000840C2" w:rsidRPr="00D41CBE" w:rsidRDefault="000840C2" w:rsidP="000840C2">
                  <w:pPr>
                    <w:rPr>
                      <w:color w:val="auto"/>
                      <w:sz w:val="22"/>
                      <w:szCs w:val="22"/>
                    </w:rPr>
                  </w:pPr>
                </w:p>
              </w:tc>
              <w:tc>
                <w:tcPr>
                  <w:tcW w:w="2034" w:type="dxa"/>
                </w:tcPr>
                <w:p w14:paraId="461DDD59" w14:textId="77777777" w:rsidR="000840C2" w:rsidRPr="00D41CBE" w:rsidRDefault="000840C2" w:rsidP="000840C2">
                  <w:pPr>
                    <w:jc w:val="center"/>
                    <w:rPr>
                      <w:color w:val="auto"/>
                      <w:sz w:val="22"/>
                      <w:szCs w:val="22"/>
                    </w:rPr>
                  </w:pPr>
                  <w:r w:rsidRPr="00D41CBE">
                    <w:rPr>
                      <w:color w:val="auto"/>
                      <w:sz w:val="22"/>
                      <w:szCs w:val="22"/>
                    </w:rPr>
                    <w:t>High &amp; Significant risk</w:t>
                  </w:r>
                </w:p>
                <w:p w14:paraId="02C174C1" w14:textId="77777777" w:rsidR="000840C2" w:rsidRPr="00D41CBE" w:rsidRDefault="000840C2" w:rsidP="000840C2">
                  <w:pPr>
                    <w:jc w:val="center"/>
                    <w:rPr>
                      <w:color w:val="auto"/>
                      <w:sz w:val="22"/>
                      <w:szCs w:val="22"/>
                    </w:rPr>
                  </w:pPr>
                  <w:r w:rsidRPr="00D41CBE">
                    <w:rPr>
                      <w:color w:val="auto"/>
                      <w:sz w:val="22"/>
                      <w:szCs w:val="22"/>
                    </w:rPr>
                    <w:t>£’m</w:t>
                  </w:r>
                </w:p>
              </w:tc>
              <w:tc>
                <w:tcPr>
                  <w:tcW w:w="2016" w:type="dxa"/>
                </w:tcPr>
                <w:p w14:paraId="52A8D1C0" w14:textId="77777777" w:rsidR="000840C2" w:rsidRPr="00D41CBE" w:rsidRDefault="000840C2" w:rsidP="000840C2">
                  <w:pPr>
                    <w:jc w:val="center"/>
                    <w:rPr>
                      <w:color w:val="auto"/>
                      <w:sz w:val="22"/>
                      <w:szCs w:val="22"/>
                    </w:rPr>
                  </w:pPr>
                  <w:r w:rsidRPr="00D41CBE">
                    <w:rPr>
                      <w:color w:val="auto"/>
                      <w:sz w:val="22"/>
                      <w:szCs w:val="22"/>
                    </w:rPr>
                    <w:t xml:space="preserve">Moderate Risk       </w:t>
                  </w:r>
                </w:p>
                <w:p w14:paraId="31839117" w14:textId="77777777" w:rsidR="000840C2" w:rsidRPr="00D41CBE" w:rsidRDefault="000840C2" w:rsidP="000840C2">
                  <w:pPr>
                    <w:jc w:val="center"/>
                    <w:rPr>
                      <w:color w:val="auto"/>
                      <w:sz w:val="22"/>
                      <w:szCs w:val="22"/>
                    </w:rPr>
                  </w:pPr>
                  <w:r w:rsidRPr="00D41CBE">
                    <w:rPr>
                      <w:color w:val="auto"/>
                      <w:sz w:val="22"/>
                      <w:szCs w:val="22"/>
                    </w:rPr>
                    <w:t>£’m</w:t>
                  </w:r>
                </w:p>
              </w:tc>
              <w:tc>
                <w:tcPr>
                  <w:tcW w:w="1817" w:type="dxa"/>
                </w:tcPr>
                <w:p w14:paraId="1F61DDC6" w14:textId="77777777" w:rsidR="000840C2" w:rsidRPr="00D41CBE" w:rsidRDefault="000840C2" w:rsidP="000840C2">
                  <w:pPr>
                    <w:jc w:val="center"/>
                    <w:rPr>
                      <w:color w:val="auto"/>
                      <w:sz w:val="22"/>
                      <w:szCs w:val="22"/>
                    </w:rPr>
                  </w:pPr>
                  <w:r w:rsidRPr="00D41CBE">
                    <w:rPr>
                      <w:color w:val="auto"/>
                      <w:sz w:val="22"/>
                      <w:szCs w:val="22"/>
                    </w:rPr>
                    <w:t>Low Risk</w:t>
                  </w:r>
                </w:p>
                <w:p w14:paraId="0885B42C" w14:textId="77777777" w:rsidR="000840C2" w:rsidRPr="00D41CBE" w:rsidRDefault="000840C2" w:rsidP="000840C2">
                  <w:pPr>
                    <w:jc w:val="center"/>
                    <w:rPr>
                      <w:color w:val="auto"/>
                      <w:sz w:val="22"/>
                      <w:szCs w:val="22"/>
                    </w:rPr>
                  </w:pPr>
                  <w:r w:rsidRPr="00D41CBE">
                    <w:rPr>
                      <w:color w:val="auto"/>
                      <w:sz w:val="22"/>
                      <w:szCs w:val="22"/>
                    </w:rPr>
                    <w:t>£’m</w:t>
                  </w:r>
                </w:p>
              </w:tc>
              <w:tc>
                <w:tcPr>
                  <w:tcW w:w="1817" w:type="dxa"/>
                </w:tcPr>
                <w:p w14:paraId="0C5DBB27" w14:textId="77777777" w:rsidR="000840C2" w:rsidRPr="00D41CBE" w:rsidRDefault="000840C2" w:rsidP="000840C2">
                  <w:pPr>
                    <w:jc w:val="center"/>
                    <w:rPr>
                      <w:color w:val="auto"/>
                      <w:sz w:val="22"/>
                      <w:szCs w:val="22"/>
                    </w:rPr>
                  </w:pPr>
                  <w:r w:rsidRPr="00D41CBE">
                    <w:rPr>
                      <w:color w:val="auto"/>
                      <w:sz w:val="22"/>
                      <w:szCs w:val="22"/>
                    </w:rPr>
                    <w:t>Total</w:t>
                  </w:r>
                </w:p>
                <w:p w14:paraId="02E17F5E" w14:textId="77777777" w:rsidR="000840C2" w:rsidRPr="00D41CBE" w:rsidRDefault="000840C2" w:rsidP="000840C2">
                  <w:pPr>
                    <w:jc w:val="center"/>
                    <w:rPr>
                      <w:color w:val="auto"/>
                      <w:sz w:val="22"/>
                      <w:szCs w:val="22"/>
                    </w:rPr>
                  </w:pPr>
                  <w:r w:rsidRPr="00D41CBE">
                    <w:rPr>
                      <w:color w:val="auto"/>
                      <w:sz w:val="22"/>
                      <w:szCs w:val="22"/>
                    </w:rPr>
                    <w:t>£’m</w:t>
                  </w:r>
                </w:p>
              </w:tc>
            </w:tr>
            <w:tr w:rsidR="000840C2" w:rsidRPr="00D41CBE" w14:paraId="5D245C99" w14:textId="77777777" w:rsidTr="00BB4465">
              <w:trPr>
                <w:trHeight w:val="561"/>
              </w:trPr>
              <w:tc>
                <w:tcPr>
                  <w:tcW w:w="1944" w:type="dxa"/>
                </w:tcPr>
                <w:p w14:paraId="6DD8B889" w14:textId="366495F3" w:rsidR="000840C2" w:rsidRPr="00D41CBE" w:rsidRDefault="00565C95" w:rsidP="000840C2">
                  <w:pPr>
                    <w:rPr>
                      <w:color w:val="auto"/>
                      <w:sz w:val="22"/>
                      <w:szCs w:val="22"/>
                    </w:rPr>
                  </w:pPr>
                  <w:r w:rsidRPr="00D41CBE">
                    <w:rPr>
                      <w:color w:val="auto"/>
                      <w:sz w:val="22"/>
                      <w:szCs w:val="22"/>
                    </w:rPr>
                    <w:t>**</w:t>
                  </w:r>
                  <w:r w:rsidR="000840C2" w:rsidRPr="00D41CBE">
                    <w:rPr>
                      <w:color w:val="auto"/>
                      <w:sz w:val="22"/>
                      <w:szCs w:val="22"/>
                    </w:rPr>
                    <w:t>GHFT</w:t>
                  </w:r>
                </w:p>
              </w:tc>
              <w:tc>
                <w:tcPr>
                  <w:tcW w:w="2034" w:type="dxa"/>
                </w:tcPr>
                <w:p w14:paraId="2E2C5C9A" w14:textId="77777777" w:rsidR="000840C2" w:rsidRPr="00D41CBE" w:rsidRDefault="000840C2" w:rsidP="000840C2">
                  <w:pPr>
                    <w:jc w:val="right"/>
                    <w:rPr>
                      <w:color w:val="auto"/>
                      <w:sz w:val="22"/>
                      <w:szCs w:val="22"/>
                    </w:rPr>
                  </w:pPr>
                  <w:r w:rsidRPr="00D41CBE">
                    <w:rPr>
                      <w:color w:val="auto"/>
                      <w:sz w:val="22"/>
                      <w:szCs w:val="22"/>
                    </w:rPr>
                    <w:t>57.1</w:t>
                  </w:r>
                </w:p>
              </w:tc>
              <w:tc>
                <w:tcPr>
                  <w:tcW w:w="2016" w:type="dxa"/>
                </w:tcPr>
                <w:p w14:paraId="76E94B18" w14:textId="77777777" w:rsidR="000840C2" w:rsidRPr="00D41CBE" w:rsidRDefault="000840C2" w:rsidP="000840C2">
                  <w:pPr>
                    <w:jc w:val="right"/>
                    <w:rPr>
                      <w:color w:val="auto"/>
                      <w:sz w:val="22"/>
                      <w:szCs w:val="22"/>
                    </w:rPr>
                  </w:pPr>
                  <w:r w:rsidRPr="00D41CBE">
                    <w:rPr>
                      <w:color w:val="auto"/>
                      <w:sz w:val="22"/>
                      <w:szCs w:val="22"/>
                    </w:rPr>
                    <w:t>26.5</w:t>
                  </w:r>
                </w:p>
              </w:tc>
              <w:tc>
                <w:tcPr>
                  <w:tcW w:w="1817" w:type="dxa"/>
                </w:tcPr>
                <w:p w14:paraId="6EF2DF09" w14:textId="77777777" w:rsidR="000840C2" w:rsidRPr="00D41CBE" w:rsidRDefault="000840C2" w:rsidP="000840C2">
                  <w:pPr>
                    <w:jc w:val="right"/>
                    <w:rPr>
                      <w:color w:val="auto"/>
                      <w:sz w:val="22"/>
                      <w:szCs w:val="22"/>
                    </w:rPr>
                  </w:pPr>
                  <w:r w:rsidRPr="00D41CBE">
                    <w:rPr>
                      <w:color w:val="auto"/>
                      <w:sz w:val="22"/>
                      <w:szCs w:val="22"/>
                    </w:rPr>
                    <w:t>2.4</w:t>
                  </w:r>
                </w:p>
              </w:tc>
              <w:tc>
                <w:tcPr>
                  <w:tcW w:w="1817" w:type="dxa"/>
                </w:tcPr>
                <w:p w14:paraId="76635E44" w14:textId="77777777" w:rsidR="000840C2" w:rsidRPr="00D41CBE" w:rsidRDefault="000840C2" w:rsidP="000840C2">
                  <w:pPr>
                    <w:jc w:val="right"/>
                    <w:rPr>
                      <w:color w:val="auto"/>
                      <w:sz w:val="22"/>
                      <w:szCs w:val="22"/>
                    </w:rPr>
                  </w:pPr>
                  <w:r w:rsidRPr="00D41CBE">
                    <w:rPr>
                      <w:color w:val="auto"/>
                      <w:sz w:val="22"/>
                      <w:szCs w:val="22"/>
                    </w:rPr>
                    <w:t>86.0</w:t>
                  </w:r>
                </w:p>
              </w:tc>
            </w:tr>
            <w:tr w:rsidR="00702B75" w:rsidRPr="00D41CBE" w14:paraId="2413538D" w14:textId="77777777" w:rsidTr="00BB4465">
              <w:trPr>
                <w:trHeight w:val="561"/>
              </w:trPr>
              <w:tc>
                <w:tcPr>
                  <w:tcW w:w="1944" w:type="dxa"/>
                </w:tcPr>
                <w:p w14:paraId="57014A33" w14:textId="687ED041" w:rsidR="00702B75" w:rsidRPr="00D41CBE" w:rsidRDefault="00702B75" w:rsidP="00702B75">
                  <w:pPr>
                    <w:rPr>
                      <w:color w:val="auto"/>
                      <w:sz w:val="22"/>
                      <w:szCs w:val="22"/>
                    </w:rPr>
                  </w:pPr>
                  <w:r w:rsidRPr="00D41CBE">
                    <w:rPr>
                      <w:color w:val="auto"/>
                      <w:sz w:val="22"/>
                      <w:szCs w:val="22"/>
                    </w:rPr>
                    <w:t>GHC</w:t>
                  </w:r>
                </w:p>
              </w:tc>
              <w:tc>
                <w:tcPr>
                  <w:tcW w:w="2034" w:type="dxa"/>
                </w:tcPr>
                <w:p w14:paraId="67886097" w14:textId="2CC0C68F" w:rsidR="00702B75" w:rsidRPr="00D41CBE" w:rsidRDefault="00702B75" w:rsidP="00702B75">
                  <w:pPr>
                    <w:jc w:val="right"/>
                    <w:rPr>
                      <w:color w:val="auto"/>
                      <w:sz w:val="22"/>
                      <w:szCs w:val="22"/>
                    </w:rPr>
                  </w:pPr>
                  <w:r w:rsidRPr="00D41CBE">
                    <w:rPr>
                      <w:color w:val="auto"/>
                      <w:sz w:val="22"/>
                      <w:szCs w:val="22"/>
                    </w:rPr>
                    <w:t>1.2</w:t>
                  </w:r>
                </w:p>
              </w:tc>
              <w:tc>
                <w:tcPr>
                  <w:tcW w:w="2016" w:type="dxa"/>
                </w:tcPr>
                <w:p w14:paraId="75EE676E" w14:textId="3870E912" w:rsidR="00702B75" w:rsidRPr="00D41CBE" w:rsidRDefault="00702B75" w:rsidP="00702B75">
                  <w:pPr>
                    <w:jc w:val="right"/>
                    <w:rPr>
                      <w:color w:val="auto"/>
                      <w:sz w:val="22"/>
                      <w:szCs w:val="22"/>
                    </w:rPr>
                  </w:pPr>
                  <w:r w:rsidRPr="00D41CBE">
                    <w:rPr>
                      <w:color w:val="auto"/>
                      <w:sz w:val="22"/>
                      <w:szCs w:val="22"/>
                    </w:rPr>
                    <w:t>7.1</w:t>
                  </w:r>
                </w:p>
              </w:tc>
              <w:tc>
                <w:tcPr>
                  <w:tcW w:w="1817" w:type="dxa"/>
                </w:tcPr>
                <w:p w14:paraId="5602DA59" w14:textId="40803B91" w:rsidR="00702B75" w:rsidRPr="00D41CBE" w:rsidRDefault="00702B75" w:rsidP="00702B75">
                  <w:pPr>
                    <w:jc w:val="right"/>
                    <w:rPr>
                      <w:color w:val="auto"/>
                      <w:sz w:val="22"/>
                      <w:szCs w:val="22"/>
                    </w:rPr>
                  </w:pPr>
                  <w:r w:rsidRPr="00D41CBE">
                    <w:rPr>
                      <w:color w:val="auto"/>
                      <w:sz w:val="22"/>
                      <w:szCs w:val="22"/>
                    </w:rPr>
                    <w:t>9.6</w:t>
                  </w:r>
                </w:p>
              </w:tc>
              <w:tc>
                <w:tcPr>
                  <w:tcW w:w="1817" w:type="dxa"/>
                </w:tcPr>
                <w:p w14:paraId="467F7E0B" w14:textId="6FB75BAC" w:rsidR="00702B75" w:rsidRPr="00D41CBE" w:rsidRDefault="00702B75" w:rsidP="00702B75">
                  <w:pPr>
                    <w:jc w:val="right"/>
                    <w:rPr>
                      <w:color w:val="auto"/>
                      <w:sz w:val="22"/>
                      <w:szCs w:val="22"/>
                    </w:rPr>
                  </w:pPr>
                  <w:r w:rsidRPr="00D41CBE">
                    <w:rPr>
                      <w:color w:val="auto"/>
                      <w:sz w:val="22"/>
                      <w:szCs w:val="22"/>
                    </w:rPr>
                    <w:t>17.9</w:t>
                  </w:r>
                </w:p>
              </w:tc>
            </w:tr>
            <w:tr w:rsidR="000840C2" w:rsidRPr="00D41CBE" w14:paraId="282F5299" w14:textId="77777777" w:rsidTr="00BB4465">
              <w:trPr>
                <w:trHeight w:val="549"/>
              </w:trPr>
              <w:tc>
                <w:tcPr>
                  <w:tcW w:w="1944" w:type="dxa"/>
                </w:tcPr>
                <w:p w14:paraId="1478FCC0" w14:textId="77777777" w:rsidR="000840C2" w:rsidRPr="00D41CBE" w:rsidRDefault="000840C2" w:rsidP="000840C2">
                  <w:pPr>
                    <w:rPr>
                      <w:color w:val="auto"/>
                      <w:sz w:val="22"/>
                      <w:szCs w:val="22"/>
                    </w:rPr>
                  </w:pPr>
                  <w:r w:rsidRPr="00D41CBE">
                    <w:rPr>
                      <w:color w:val="auto"/>
                      <w:sz w:val="22"/>
                      <w:szCs w:val="22"/>
                    </w:rPr>
                    <w:t xml:space="preserve">Total </w:t>
                  </w:r>
                </w:p>
              </w:tc>
              <w:tc>
                <w:tcPr>
                  <w:tcW w:w="2034" w:type="dxa"/>
                </w:tcPr>
                <w:p w14:paraId="008511E5" w14:textId="40E53C92" w:rsidR="000840C2" w:rsidRPr="00D41CBE" w:rsidRDefault="00565C95" w:rsidP="000840C2">
                  <w:pPr>
                    <w:jc w:val="right"/>
                    <w:rPr>
                      <w:color w:val="auto"/>
                      <w:sz w:val="22"/>
                      <w:szCs w:val="22"/>
                    </w:rPr>
                  </w:pPr>
                  <w:r w:rsidRPr="00D41CBE">
                    <w:rPr>
                      <w:color w:val="auto"/>
                      <w:sz w:val="22"/>
                      <w:szCs w:val="22"/>
                    </w:rPr>
                    <w:t>58.3</w:t>
                  </w:r>
                </w:p>
              </w:tc>
              <w:tc>
                <w:tcPr>
                  <w:tcW w:w="2016" w:type="dxa"/>
                </w:tcPr>
                <w:p w14:paraId="0C0C1DE4" w14:textId="7755D2CB" w:rsidR="000840C2" w:rsidRPr="00D41CBE" w:rsidRDefault="000840C2" w:rsidP="000840C2">
                  <w:pPr>
                    <w:jc w:val="right"/>
                    <w:rPr>
                      <w:color w:val="auto"/>
                      <w:sz w:val="22"/>
                      <w:szCs w:val="22"/>
                    </w:rPr>
                  </w:pPr>
                  <w:r w:rsidRPr="00D41CBE">
                    <w:rPr>
                      <w:color w:val="auto"/>
                      <w:sz w:val="22"/>
                      <w:szCs w:val="22"/>
                    </w:rPr>
                    <w:t>3</w:t>
                  </w:r>
                  <w:r w:rsidR="00565C95" w:rsidRPr="00D41CBE">
                    <w:rPr>
                      <w:color w:val="auto"/>
                      <w:sz w:val="22"/>
                      <w:szCs w:val="22"/>
                    </w:rPr>
                    <w:t>3.6</w:t>
                  </w:r>
                </w:p>
              </w:tc>
              <w:tc>
                <w:tcPr>
                  <w:tcW w:w="1817" w:type="dxa"/>
                </w:tcPr>
                <w:p w14:paraId="47E360F0" w14:textId="085EAC30" w:rsidR="000840C2" w:rsidRPr="00D41CBE" w:rsidRDefault="00565C95" w:rsidP="000840C2">
                  <w:pPr>
                    <w:jc w:val="right"/>
                    <w:rPr>
                      <w:color w:val="auto"/>
                      <w:sz w:val="22"/>
                      <w:szCs w:val="22"/>
                    </w:rPr>
                  </w:pPr>
                  <w:r w:rsidRPr="00D41CBE">
                    <w:rPr>
                      <w:color w:val="auto"/>
                      <w:sz w:val="22"/>
                      <w:szCs w:val="22"/>
                    </w:rPr>
                    <w:t>12</w:t>
                  </w:r>
                </w:p>
              </w:tc>
              <w:tc>
                <w:tcPr>
                  <w:tcW w:w="1817" w:type="dxa"/>
                </w:tcPr>
                <w:p w14:paraId="790AA380" w14:textId="1B6D6EDB" w:rsidR="000840C2" w:rsidRPr="00D41CBE" w:rsidRDefault="000840C2" w:rsidP="000840C2">
                  <w:pPr>
                    <w:jc w:val="right"/>
                    <w:rPr>
                      <w:color w:val="auto"/>
                      <w:sz w:val="22"/>
                      <w:szCs w:val="22"/>
                    </w:rPr>
                  </w:pPr>
                  <w:r w:rsidRPr="00D41CBE">
                    <w:rPr>
                      <w:color w:val="auto"/>
                      <w:sz w:val="22"/>
                      <w:szCs w:val="22"/>
                    </w:rPr>
                    <w:t>10</w:t>
                  </w:r>
                  <w:r w:rsidR="00565C95" w:rsidRPr="00D41CBE">
                    <w:rPr>
                      <w:color w:val="auto"/>
                      <w:sz w:val="22"/>
                      <w:szCs w:val="22"/>
                    </w:rPr>
                    <w:t>3.9</w:t>
                  </w:r>
                </w:p>
              </w:tc>
            </w:tr>
          </w:tbl>
          <w:p w14:paraId="7494C2E2" w14:textId="77777777" w:rsidR="000840C2" w:rsidRPr="00D41CBE" w:rsidRDefault="000840C2" w:rsidP="000840C2">
            <w:pPr>
              <w:spacing w:after="0" w:line="240" w:lineRule="auto"/>
              <w:contextualSpacing/>
              <w:jc w:val="both"/>
              <w:textboxTightWrap w:val="none"/>
              <w:rPr>
                <w:rFonts w:cs="Arial"/>
                <w:color w:val="auto"/>
              </w:rPr>
            </w:pPr>
          </w:p>
          <w:p w14:paraId="5BFC5698" w14:textId="7E63A67A" w:rsidR="008136A8" w:rsidRPr="00D41CBE" w:rsidRDefault="00565C95" w:rsidP="00565C95">
            <w:pPr>
              <w:pStyle w:val="Bulletlist"/>
              <w:framePr w:wrap="around"/>
              <w:rPr>
                <w:color w:val="auto"/>
              </w:rPr>
            </w:pPr>
            <w:r w:rsidRPr="00D41CBE">
              <w:rPr>
                <w:color w:val="auto"/>
              </w:rPr>
              <w:t xml:space="preserve">**The GHFT backlog figures are based on 2021 surveys. New surveys are currently underway within </w:t>
            </w:r>
            <w:proofErr w:type="gramStart"/>
            <w:r w:rsidRPr="00D41CBE">
              <w:rPr>
                <w:color w:val="auto"/>
              </w:rPr>
              <w:t>GHFT</w:t>
            </w:r>
            <w:proofErr w:type="gramEnd"/>
            <w:r w:rsidRPr="00D41CBE">
              <w:rPr>
                <w:color w:val="auto"/>
              </w:rPr>
              <w:t xml:space="preserve"> and it is anticipated that the figure of £86m will increase substantially as a result </w:t>
            </w:r>
          </w:p>
          <w:p w14:paraId="2C34AC08" w14:textId="77777777" w:rsidR="00565C95" w:rsidRPr="00D41CBE" w:rsidRDefault="00565C95" w:rsidP="00565C95">
            <w:pPr>
              <w:pStyle w:val="Bulletlist"/>
              <w:framePr w:wrap="around"/>
              <w:rPr>
                <w:color w:val="auto"/>
              </w:rPr>
            </w:pPr>
          </w:p>
          <w:p w14:paraId="49E9B4FC" w14:textId="5E09C8E8" w:rsidR="002916EE" w:rsidRPr="00D41CBE" w:rsidRDefault="002916EE" w:rsidP="002916EE">
            <w:pPr>
              <w:rPr>
                <w:rFonts w:cs="Arial"/>
                <w:color w:val="auto"/>
                <w:u w:val="single"/>
              </w:rPr>
            </w:pPr>
            <w:r w:rsidRPr="00D41CBE">
              <w:rPr>
                <w:rFonts w:cs="Arial"/>
                <w:color w:val="auto"/>
                <w:u w:val="single"/>
              </w:rPr>
              <w:t>Governance</w:t>
            </w:r>
          </w:p>
          <w:p w14:paraId="25D1091B" w14:textId="2A6788BA" w:rsidR="002916EE" w:rsidRPr="00D41CBE" w:rsidRDefault="000840C2" w:rsidP="002916EE">
            <w:pPr>
              <w:rPr>
                <w:rFonts w:cs="Arial"/>
                <w:color w:val="auto"/>
              </w:rPr>
            </w:pPr>
            <w:r w:rsidRPr="00D41CBE">
              <w:rPr>
                <w:rFonts w:cs="Arial"/>
                <w:color w:val="auto"/>
              </w:rPr>
              <w:t xml:space="preserve">Governance of capital programmes within organisations is via Finance or Resources Committees. </w:t>
            </w:r>
            <w:r w:rsidR="002916EE" w:rsidRPr="00D41CBE">
              <w:rPr>
                <w:rFonts w:cs="Arial"/>
                <w:color w:val="auto"/>
              </w:rPr>
              <w:t xml:space="preserve">System Governance is through the </w:t>
            </w:r>
            <w:r w:rsidR="00725096" w:rsidRPr="00D41CBE">
              <w:rPr>
                <w:rFonts w:cs="Arial"/>
                <w:color w:val="auto"/>
              </w:rPr>
              <w:t>Strategic Executive meeting</w:t>
            </w:r>
            <w:r w:rsidR="002916EE" w:rsidRPr="00D41CBE">
              <w:rPr>
                <w:rFonts w:cs="Arial"/>
                <w:color w:val="auto"/>
              </w:rPr>
              <w:t xml:space="preserve"> and the ICB Board.  A key focus for this year, and last year, has been on reducing risk relating to backlog maintenance</w:t>
            </w:r>
            <w:r w:rsidR="002B7498" w:rsidRPr="00D41CBE">
              <w:rPr>
                <w:rFonts w:cs="Arial"/>
                <w:color w:val="auto"/>
              </w:rPr>
              <w:t>, resilience</w:t>
            </w:r>
            <w:r w:rsidR="002916EE" w:rsidRPr="00D41CBE">
              <w:rPr>
                <w:rFonts w:cs="Arial"/>
                <w:color w:val="auto"/>
              </w:rPr>
              <w:t xml:space="preserve"> and compliance risks</w:t>
            </w:r>
            <w:r w:rsidR="002B7498" w:rsidRPr="00D41CBE">
              <w:rPr>
                <w:rFonts w:cs="Arial"/>
                <w:color w:val="auto"/>
              </w:rPr>
              <w:t xml:space="preserve"> including fire and water safety, ensuring that we have an increasingly robust replacement programme to replace digital and medical equipment</w:t>
            </w:r>
            <w:r w:rsidR="002916EE" w:rsidRPr="00D41CBE">
              <w:rPr>
                <w:rFonts w:cs="Arial"/>
                <w:color w:val="auto"/>
              </w:rPr>
              <w:t>.  In addition</w:t>
            </w:r>
            <w:r w:rsidR="00B83DE4" w:rsidRPr="00D41CBE">
              <w:rPr>
                <w:rFonts w:cs="Arial"/>
                <w:color w:val="auto"/>
              </w:rPr>
              <w:t>,</w:t>
            </w:r>
            <w:r w:rsidR="002916EE" w:rsidRPr="00D41CBE">
              <w:rPr>
                <w:rFonts w:cs="Arial"/>
                <w:color w:val="auto"/>
              </w:rPr>
              <w:t xml:space="preserve"> ensuring ongoing investment in equipment and digital.</w:t>
            </w:r>
          </w:p>
          <w:p w14:paraId="5F571751" w14:textId="3772D2C5" w:rsidR="002916EE" w:rsidRPr="00D41CBE" w:rsidRDefault="002916EE" w:rsidP="002916EE">
            <w:pPr>
              <w:rPr>
                <w:rFonts w:cs="Arial"/>
                <w:color w:val="auto"/>
              </w:rPr>
            </w:pPr>
            <w:r w:rsidRPr="00D41CBE">
              <w:rPr>
                <w:rFonts w:cs="Arial"/>
                <w:color w:val="auto"/>
              </w:rPr>
              <w:t xml:space="preserve">Reporting on the capital programme takes place monthly and is reported to the ICB Board </w:t>
            </w:r>
            <w:proofErr w:type="spellStart"/>
            <w:proofErr w:type="gramStart"/>
            <w:r w:rsidRPr="00D41CBE">
              <w:rPr>
                <w:rFonts w:cs="Arial"/>
                <w:color w:val="auto"/>
              </w:rPr>
              <w:t>bi</w:t>
            </w:r>
            <w:proofErr w:type="spellEnd"/>
            <w:r w:rsidRPr="00D41CBE">
              <w:rPr>
                <w:rFonts w:cs="Arial"/>
                <w:color w:val="auto"/>
              </w:rPr>
              <w:t xml:space="preserve"> monthly</w:t>
            </w:r>
            <w:proofErr w:type="gramEnd"/>
            <w:r w:rsidRPr="00D41CBE">
              <w:rPr>
                <w:rFonts w:cs="Arial"/>
                <w:color w:val="auto"/>
              </w:rPr>
              <w:t>.</w:t>
            </w:r>
          </w:p>
          <w:p w14:paraId="69372E73" w14:textId="7220479B" w:rsidR="00327E3E" w:rsidRPr="00D41CBE" w:rsidRDefault="00327E3E" w:rsidP="002916EE">
            <w:pPr>
              <w:rPr>
                <w:rFonts w:cs="Arial"/>
                <w:i/>
                <w:iCs/>
                <w:color w:val="auto"/>
                <w:u w:val="single"/>
              </w:rPr>
            </w:pPr>
            <w:r w:rsidRPr="00D41CBE">
              <w:rPr>
                <w:rFonts w:cs="Arial"/>
                <w:color w:val="auto"/>
                <w:u w:val="single"/>
              </w:rPr>
              <w:t xml:space="preserve">Estates governance </w:t>
            </w:r>
          </w:p>
          <w:p w14:paraId="2DBFCF28" w14:textId="06CC7F0E" w:rsidR="00E461C7" w:rsidRPr="00D41CBE" w:rsidRDefault="00E461C7" w:rsidP="00E461C7">
            <w:pPr>
              <w:autoSpaceDE w:val="0"/>
              <w:autoSpaceDN w:val="0"/>
              <w:adjustRightInd w:val="0"/>
              <w:spacing w:after="0" w:line="240" w:lineRule="auto"/>
              <w:textboxTightWrap w:val="none"/>
              <w:rPr>
                <w:rFonts w:cs="Arial"/>
                <w:color w:val="auto"/>
              </w:rPr>
            </w:pPr>
            <w:r w:rsidRPr="00D41CBE">
              <w:rPr>
                <w:rFonts w:cs="Arial"/>
                <w:color w:val="auto"/>
              </w:rPr>
              <w:t xml:space="preserve">The ICS has an ICS Estates Group chaired by the Chief Executive of Gloucestershire Hospitals NHSFT.  Membership of this group includes directors responsible for estates from each organisation and organisational estates leads.  This group reports to the ICS Strategic Executive Groups and is responsible for </w:t>
            </w:r>
            <w:r w:rsidR="00D27FFB" w:rsidRPr="00D41CBE">
              <w:rPr>
                <w:rFonts w:cs="Arial"/>
                <w:color w:val="auto"/>
              </w:rPr>
              <w:t xml:space="preserve">the implementation of the estates element of </w:t>
            </w:r>
            <w:r w:rsidRPr="00D41CBE">
              <w:rPr>
                <w:rFonts w:cs="Arial"/>
                <w:color w:val="auto"/>
              </w:rPr>
              <w:t xml:space="preserve">the ICS Infrastructure Strategy </w:t>
            </w:r>
            <w:r w:rsidR="00D27FFB" w:rsidRPr="00D41CBE">
              <w:rPr>
                <w:rFonts w:cs="Arial"/>
                <w:color w:val="auto"/>
              </w:rPr>
              <w:t>and ensuring that estates functions support the overall implementation of operational and system strategic plans</w:t>
            </w:r>
            <w:r w:rsidRPr="00D41CBE">
              <w:rPr>
                <w:rFonts w:cs="Arial"/>
                <w:color w:val="auto"/>
              </w:rPr>
              <w:t>.</w:t>
            </w:r>
          </w:p>
          <w:p w14:paraId="35676D93" w14:textId="77777777" w:rsidR="00E461C7" w:rsidRPr="00D41CBE" w:rsidRDefault="00E461C7" w:rsidP="00E461C7">
            <w:pPr>
              <w:autoSpaceDE w:val="0"/>
              <w:autoSpaceDN w:val="0"/>
              <w:adjustRightInd w:val="0"/>
              <w:spacing w:after="0" w:line="240" w:lineRule="auto"/>
              <w:textboxTightWrap w:val="none"/>
              <w:rPr>
                <w:rFonts w:cs="Arial"/>
                <w:color w:val="auto"/>
              </w:rPr>
            </w:pPr>
          </w:p>
          <w:p w14:paraId="477F7B29" w14:textId="77777777" w:rsidR="00565C95" w:rsidRPr="00D41CBE" w:rsidRDefault="00565C95" w:rsidP="00565C95">
            <w:pPr>
              <w:autoSpaceDE w:val="0"/>
              <w:autoSpaceDN w:val="0"/>
              <w:adjustRightInd w:val="0"/>
              <w:spacing w:after="0" w:line="240" w:lineRule="auto"/>
              <w:textboxTightWrap w:val="none"/>
              <w:rPr>
                <w:rFonts w:asciiTheme="minorHAnsi" w:hAnsiTheme="minorHAnsi" w:cstheme="minorHAnsi"/>
                <w:color w:val="auto"/>
                <w:u w:val="single"/>
              </w:rPr>
            </w:pPr>
            <w:r w:rsidRPr="00D41CBE">
              <w:rPr>
                <w:rFonts w:asciiTheme="minorHAnsi" w:hAnsiTheme="minorHAnsi" w:cstheme="minorHAnsi"/>
                <w:color w:val="auto"/>
                <w:u w:val="single"/>
              </w:rPr>
              <w:t>Estates and Facilities Management</w:t>
            </w:r>
          </w:p>
          <w:p w14:paraId="2BEB4DC5" w14:textId="77777777" w:rsidR="00565C95" w:rsidRPr="00D41CBE" w:rsidRDefault="00565C95" w:rsidP="00565C95">
            <w:pPr>
              <w:autoSpaceDE w:val="0"/>
              <w:autoSpaceDN w:val="0"/>
              <w:adjustRightInd w:val="0"/>
              <w:spacing w:after="0" w:line="240" w:lineRule="auto"/>
              <w:textboxTightWrap w:val="none"/>
              <w:rPr>
                <w:rFonts w:asciiTheme="minorHAnsi" w:hAnsiTheme="minorHAnsi" w:cstheme="minorHAnsi"/>
                <w:color w:val="auto"/>
                <w:u w:val="single"/>
              </w:rPr>
            </w:pPr>
          </w:p>
          <w:p w14:paraId="00A4BC20" w14:textId="77777777" w:rsidR="00565C95" w:rsidRPr="00D41CBE" w:rsidRDefault="00565C95" w:rsidP="00565C95">
            <w:pPr>
              <w:pStyle w:val="ListParagraph"/>
              <w:numPr>
                <w:ilvl w:val="0"/>
                <w:numId w:val="38"/>
              </w:numPr>
              <w:autoSpaceDE w:val="0"/>
              <w:autoSpaceDN w:val="0"/>
              <w:adjustRightInd w:val="0"/>
              <w:spacing w:after="0" w:line="240" w:lineRule="auto"/>
              <w:textboxTightWrap w:val="none"/>
              <w:rPr>
                <w:rFonts w:asciiTheme="minorHAnsi" w:hAnsiTheme="minorHAnsi" w:cstheme="minorHAnsi"/>
                <w:color w:val="auto"/>
              </w:rPr>
            </w:pPr>
            <w:r w:rsidRPr="00D41CBE">
              <w:rPr>
                <w:rFonts w:asciiTheme="minorHAnsi" w:hAnsiTheme="minorHAnsi" w:cstheme="minorHAnsi"/>
                <w:color w:val="auto"/>
              </w:rPr>
              <w:t>GHFT operates its estates and facilities through its wholly owned subsidiary, Gloucestershire Managed Services (GMS), which is responsible for operational delivery, maintenance and capital programme implementation. The Trust retains oversight of strategic direction, investment priorities and statutory compliance.</w:t>
            </w:r>
          </w:p>
          <w:p w14:paraId="1D8013EE" w14:textId="77777777" w:rsidR="00565C95" w:rsidRPr="00D41CBE" w:rsidRDefault="00565C95" w:rsidP="00565C95">
            <w:pPr>
              <w:pStyle w:val="ListParagraph"/>
              <w:autoSpaceDE w:val="0"/>
              <w:autoSpaceDN w:val="0"/>
              <w:adjustRightInd w:val="0"/>
              <w:spacing w:after="0" w:line="240" w:lineRule="auto"/>
              <w:ind w:left="360" w:firstLine="0"/>
              <w:textboxTightWrap w:val="none"/>
              <w:rPr>
                <w:rFonts w:asciiTheme="minorHAnsi" w:hAnsiTheme="minorHAnsi" w:cstheme="minorHAnsi"/>
                <w:color w:val="auto"/>
              </w:rPr>
            </w:pPr>
          </w:p>
          <w:p w14:paraId="4AD1BE23" w14:textId="706D8778" w:rsidR="00565C95" w:rsidRPr="00D41CBE" w:rsidRDefault="00565C95" w:rsidP="00565C95">
            <w:pPr>
              <w:pStyle w:val="ListParagraph"/>
              <w:numPr>
                <w:ilvl w:val="0"/>
                <w:numId w:val="38"/>
              </w:numPr>
              <w:autoSpaceDE w:val="0"/>
              <w:autoSpaceDN w:val="0"/>
              <w:adjustRightInd w:val="0"/>
              <w:spacing w:after="0" w:line="240" w:lineRule="auto"/>
              <w:textboxTightWrap w:val="none"/>
              <w:rPr>
                <w:rFonts w:asciiTheme="minorHAnsi" w:hAnsiTheme="minorHAnsi" w:cstheme="minorHAnsi"/>
                <w:color w:val="auto"/>
              </w:rPr>
            </w:pPr>
            <w:r w:rsidRPr="00D41CBE">
              <w:rPr>
                <w:rFonts w:asciiTheme="minorHAnsi" w:hAnsiTheme="minorHAnsi" w:cstheme="minorHAnsi"/>
                <w:color w:val="auto"/>
              </w:rPr>
              <w:t>GHFT are establishing an intelligent client function to manage the PFI contract which accounts for c. 20% of the Gloucestershire Royal Hospital site, the accommodation provider and car parking contract.</w:t>
            </w:r>
          </w:p>
          <w:p w14:paraId="56D95CCC" w14:textId="77777777" w:rsidR="00D27FFB" w:rsidRPr="00D41CBE" w:rsidRDefault="00D27FFB" w:rsidP="00D27FFB">
            <w:pPr>
              <w:pStyle w:val="ListParagraph"/>
              <w:autoSpaceDE w:val="0"/>
              <w:autoSpaceDN w:val="0"/>
              <w:adjustRightInd w:val="0"/>
              <w:spacing w:after="0" w:line="240" w:lineRule="auto"/>
              <w:ind w:left="360" w:firstLine="0"/>
              <w:textboxTightWrap w:val="none"/>
              <w:rPr>
                <w:rFonts w:asciiTheme="minorHAnsi" w:hAnsiTheme="minorHAnsi" w:cstheme="minorHAnsi"/>
                <w:color w:val="auto"/>
              </w:rPr>
            </w:pPr>
          </w:p>
          <w:p w14:paraId="29755E28" w14:textId="77777777" w:rsidR="00702B75" w:rsidRPr="00D41CBE" w:rsidRDefault="00702B75" w:rsidP="00702B75">
            <w:pPr>
              <w:pStyle w:val="ListParagraph"/>
              <w:numPr>
                <w:ilvl w:val="0"/>
                <w:numId w:val="38"/>
              </w:numPr>
              <w:autoSpaceDE w:val="0"/>
              <w:autoSpaceDN w:val="0"/>
              <w:adjustRightInd w:val="0"/>
              <w:spacing w:after="0" w:line="240" w:lineRule="auto"/>
              <w:textboxTightWrap w:val="none"/>
              <w:rPr>
                <w:rFonts w:cs="Arial"/>
                <w:color w:val="auto"/>
                <w:u w:val="single"/>
              </w:rPr>
            </w:pPr>
            <w:r w:rsidRPr="00D41CBE">
              <w:rPr>
                <w:rFonts w:asciiTheme="minorHAnsi" w:hAnsiTheme="minorHAnsi" w:cstheme="minorHAnsi"/>
                <w:color w:val="auto"/>
              </w:rPr>
              <w:t>GH&amp;C has an “in house” EFM team that provides most hard and soft facilities management services with selected specialist services purchased from / delivered by external suppliers or GMS.</w:t>
            </w:r>
          </w:p>
          <w:p w14:paraId="16A9F9BA" w14:textId="77777777" w:rsidR="00702B75" w:rsidRPr="00D41CBE" w:rsidRDefault="00702B75" w:rsidP="00702B75">
            <w:pPr>
              <w:pStyle w:val="ListParagraph"/>
              <w:autoSpaceDE w:val="0"/>
              <w:autoSpaceDN w:val="0"/>
              <w:adjustRightInd w:val="0"/>
              <w:spacing w:after="0" w:line="240" w:lineRule="auto"/>
              <w:ind w:left="360" w:firstLine="0"/>
              <w:textboxTightWrap w:val="none"/>
              <w:rPr>
                <w:rFonts w:asciiTheme="minorHAnsi" w:hAnsiTheme="minorHAnsi" w:cstheme="minorHAnsi"/>
                <w:color w:val="auto"/>
              </w:rPr>
            </w:pPr>
            <w:r w:rsidRPr="00D41CBE">
              <w:rPr>
                <w:rFonts w:asciiTheme="minorHAnsi" w:hAnsiTheme="minorHAnsi" w:cstheme="minorHAnsi"/>
                <w:color w:val="auto"/>
              </w:rPr>
              <w:t>Governance of GHC EFM services is via the Trust Resource Committee</w:t>
            </w:r>
          </w:p>
          <w:p w14:paraId="3D81C801" w14:textId="77777777" w:rsidR="00D27FFB" w:rsidRPr="00D41CBE" w:rsidRDefault="00D27FFB" w:rsidP="002916EE">
            <w:pPr>
              <w:rPr>
                <w:rFonts w:cs="Arial"/>
                <w:color w:val="auto"/>
                <w:u w:val="single"/>
              </w:rPr>
            </w:pPr>
          </w:p>
          <w:p w14:paraId="50B750B9" w14:textId="6BC9F325" w:rsidR="002916EE" w:rsidRPr="00D41CBE" w:rsidRDefault="002916EE" w:rsidP="002916EE">
            <w:pPr>
              <w:rPr>
                <w:rFonts w:cs="Arial"/>
                <w:color w:val="auto"/>
                <w:u w:val="single"/>
              </w:rPr>
            </w:pPr>
            <w:r w:rsidRPr="00D41CBE">
              <w:rPr>
                <w:rFonts w:cs="Arial"/>
                <w:color w:val="auto"/>
                <w:u w:val="single"/>
              </w:rPr>
              <w:t>CQC Ratings</w:t>
            </w:r>
          </w:p>
          <w:p w14:paraId="6C620D0A" w14:textId="08468437" w:rsidR="002F00DF" w:rsidRPr="00D41CBE" w:rsidRDefault="00D27FFB" w:rsidP="00B53BA6">
            <w:pPr>
              <w:rPr>
                <w:rFonts w:cs="Arial"/>
                <w:i/>
                <w:iCs/>
                <w:color w:val="auto"/>
                <w:u w:val="single"/>
              </w:rPr>
            </w:pPr>
            <w:r w:rsidRPr="00D41CBE">
              <w:rPr>
                <w:rFonts w:cs="Arial"/>
                <w:color w:val="auto"/>
                <w:u w:val="single"/>
              </w:rPr>
              <w:t>GHC</w:t>
            </w:r>
          </w:p>
          <w:p w14:paraId="0A014051" w14:textId="77777777" w:rsidR="00702B75" w:rsidRPr="00D41CBE" w:rsidRDefault="00702B75" w:rsidP="00702B75">
            <w:pPr>
              <w:rPr>
                <w:rFonts w:asciiTheme="minorHAnsi" w:hAnsiTheme="minorHAnsi" w:cstheme="minorHAnsi"/>
                <w:color w:val="auto"/>
              </w:rPr>
            </w:pPr>
            <w:r w:rsidRPr="00D41CBE">
              <w:rPr>
                <w:rFonts w:asciiTheme="minorHAnsi" w:hAnsiTheme="minorHAnsi" w:cstheme="minorHAnsi"/>
                <w:color w:val="auto"/>
              </w:rPr>
              <w:t>GHC have an overall rating of ‘Good’ assigned during a Core and Well Led inspection in 2022. The inspection highlighted two areas for improvement and were classified as essential actions known as ‘Must Do’s’, as follows:</w:t>
            </w:r>
          </w:p>
          <w:p w14:paraId="6D0D0A76" w14:textId="77777777" w:rsidR="00702B75" w:rsidRPr="00D41CBE" w:rsidRDefault="00702B75" w:rsidP="00702B75">
            <w:pPr>
              <w:numPr>
                <w:ilvl w:val="0"/>
                <w:numId w:val="36"/>
              </w:numPr>
              <w:spacing w:before="100" w:beforeAutospacing="1" w:after="100" w:afterAutospacing="1" w:line="240" w:lineRule="auto"/>
              <w:textboxTightWrap w:val="none"/>
              <w:rPr>
                <w:rFonts w:asciiTheme="minorHAnsi" w:hAnsiTheme="minorHAnsi" w:cstheme="minorHAnsi"/>
                <w:color w:val="auto"/>
              </w:rPr>
            </w:pPr>
            <w:r w:rsidRPr="00D41CBE">
              <w:rPr>
                <w:rFonts w:asciiTheme="minorHAnsi" w:hAnsiTheme="minorHAnsi" w:cstheme="minorHAnsi"/>
                <w:color w:val="auto"/>
              </w:rPr>
              <w:t>The physical monitoring of patients after receiving Rapid Tranquilisation medication.</w:t>
            </w:r>
          </w:p>
          <w:p w14:paraId="2857430F" w14:textId="77777777" w:rsidR="00702B75" w:rsidRPr="00D41CBE" w:rsidRDefault="00702B75" w:rsidP="00702B75">
            <w:pPr>
              <w:numPr>
                <w:ilvl w:val="0"/>
                <w:numId w:val="36"/>
              </w:numPr>
              <w:spacing w:before="100" w:beforeAutospacing="1" w:after="100" w:afterAutospacing="1" w:line="240" w:lineRule="auto"/>
              <w:textboxTightWrap w:val="none"/>
              <w:rPr>
                <w:rFonts w:asciiTheme="minorHAnsi" w:hAnsiTheme="minorHAnsi" w:cstheme="minorHAnsi"/>
                <w:color w:val="auto"/>
              </w:rPr>
            </w:pPr>
            <w:r w:rsidRPr="00D41CBE">
              <w:rPr>
                <w:rFonts w:asciiTheme="minorHAnsi" w:hAnsiTheme="minorHAnsi" w:cstheme="minorHAnsi"/>
                <w:color w:val="auto"/>
              </w:rPr>
              <w:t>Personal emergency evacuation plans (PEEP) for people who may need assistance to evacuate a building.</w:t>
            </w:r>
          </w:p>
          <w:p w14:paraId="36B46965" w14:textId="77777777" w:rsidR="00702B75" w:rsidRPr="00D41CBE" w:rsidRDefault="00702B75" w:rsidP="00702B75">
            <w:pPr>
              <w:rPr>
                <w:rFonts w:asciiTheme="minorHAnsi" w:hAnsiTheme="minorHAnsi" w:cstheme="minorHAnsi"/>
                <w:color w:val="auto"/>
              </w:rPr>
            </w:pPr>
            <w:r w:rsidRPr="00D41CBE">
              <w:rPr>
                <w:rFonts w:asciiTheme="minorHAnsi" w:hAnsiTheme="minorHAnsi" w:cstheme="minorHAnsi"/>
                <w:color w:val="auto"/>
              </w:rPr>
              <w:t>Local procedural changes were completed and are now embedded into practice within those clinical areas.  This inspection and subsequent Mental Health Act Commissioner visits in 2025 have not identified any significant issues in GHC estates or equipment that would directly impact or improve the current CQC rating.  </w:t>
            </w:r>
          </w:p>
          <w:p w14:paraId="423C2474" w14:textId="77777777" w:rsidR="00702B75" w:rsidRPr="00D41CBE" w:rsidRDefault="00702B75" w:rsidP="00702B75">
            <w:pPr>
              <w:rPr>
                <w:rFonts w:asciiTheme="minorHAnsi" w:hAnsiTheme="minorHAnsi" w:cstheme="minorHAnsi"/>
                <w:color w:val="auto"/>
                <w:lang w:eastAsia="en-US"/>
              </w:rPr>
            </w:pPr>
            <w:r w:rsidRPr="00D41CBE">
              <w:rPr>
                <w:rFonts w:asciiTheme="minorHAnsi" w:hAnsiTheme="minorHAnsi" w:cstheme="minorHAnsi"/>
                <w:color w:val="auto"/>
              </w:rPr>
              <w:t>No significant issues in GHC estates or equipment have been raised by CQC that would directly impact or improve CQC assessment. Some minor works have been commissioned following observations during MHA inspections although they would not impact the GHC rating, but these are not capital in nature.  </w:t>
            </w:r>
          </w:p>
          <w:p w14:paraId="7A2C329F" w14:textId="77777777" w:rsidR="00B83DE4" w:rsidRPr="00D41CBE" w:rsidRDefault="00B83DE4" w:rsidP="00B83DE4">
            <w:pPr>
              <w:rPr>
                <w:rFonts w:cs="Arial"/>
                <w:color w:val="auto"/>
                <w:u w:val="single"/>
              </w:rPr>
            </w:pPr>
            <w:r w:rsidRPr="00D41CBE">
              <w:rPr>
                <w:rFonts w:cs="Arial"/>
                <w:color w:val="auto"/>
                <w:u w:val="single"/>
              </w:rPr>
              <w:t>GHFT</w:t>
            </w:r>
          </w:p>
          <w:p w14:paraId="641394F1" w14:textId="6154D19A" w:rsidR="00CA1AA6" w:rsidRPr="00D41CBE" w:rsidRDefault="00565C95" w:rsidP="00D27FFB">
            <w:pPr>
              <w:rPr>
                <w:rFonts w:cs="Arial"/>
                <w:color w:val="auto"/>
              </w:rPr>
            </w:pPr>
            <w:r w:rsidRPr="00D41CBE">
              <w:rPr>
                <w:rFonts w:cs="Arial"/>
                <w:color w:val="auto"/>
              </w:rPr>
              <w:t xml:space="preserve">GHFT has an overall CQC rating of Requires Improvement.  Standards cover infection control, cleanliness, patient experience, access and so on.  The Trust has a significant estates </w:t>
            </w:r>
            <w:proofErr w:type="gramStart"/>
            <w:r w:rsidRPr="00D41CBE">
              <w:rPr>
                <w:rFonts w:cs="Arial"/>
                <w:color w:val="auto"/>
              </w:rPr>
              <w:t>challenge</w:t>
            </w:r>
            <w:proofErr w:type="gramEnd"/>
            <w:r w:rsidRPr="00D41CBE">
              <w:rPr>
                <w:rFonts w:cs="Arial"/>
                <w:color w:val="auto"/>
              </w:rPr>
              <w:t xml:space="preserve"> but improvements continue to be made and patient safety is paramount.  With that consideration, certain schemes in the plan are directly linked to delivering a safer estate, such as the fire alarm system, the nurse call system and improvements to our water, fire and electrical infrastructure.  </w:t>
            </w:r>
            <w:bookmarkStart w:id="1" w:name="_Hlk201337975"/>
            <w:r w:rsidRPr="00D41CBE">
              <w:rPr>
                <w:rFonts w:cs="Arial"/>
                <w:color w:val="auto"/>
              </w:rPr>
              <w:t xml:space="preserve">However, there are also </w:t>
            </w:r>
            <w:proofErr w:type="gramStart"/>
            <w:r w:rsidRPr="00D41CBE">
              <w:rPr>
                <w:rFonts w:cs="Arial"/>
                <w:color w:val="auto"/>
              </w:rPr>
              <w:t>a number of</w:t>
            </w:r>
            <w:proofErr w:type="gramEnd"/>
            <w:r w:rsidRPr="00D41CBE">
              <w:rPr>
                <w:rFonts w:cs="Arial"/>
                <w:color w:val="auto"/>
              </w:rPr>
              <w:t xml:space="preserve"> individual schemes that directly link to specific areas: for example, over the last 12 months the RO water plant in our in-patient dialysis bay has been replaced</w:t>
            </w:r>
            <w:bookmarkEnd w:id="1"/>
            <w:r w:rsidRPr="00D41CBE">
              <w:rPr>
                <w:rFonts w:cs="Arial"/>
                <w:color w:val="auto"/>
              </w:rPr>
              <w:t>.  Patient experience is also important, schemes such as our water improvement programme are addressing shower replacements across the sites which will have an impact on safety and infection control whilst also improving the patient experience.</w:t>
            </w:r>
          </w:p>
        </w:tc>
      </w:tr>
    </w:tbl>
    <w:p w14:paraId="3682E25C" w14:textId="77777777" w:rsidR="0055353C" w:rsidRPr="00D41CBE" w:rsidRDefault="0055353C" w:rsidP="0055353C">
      <w:pPr>
        <w:rPr>
          <w:rFonts w:cs="Arial"/>
          <w:b/>
          <w:bCs/>
          <w:color w:val="auto"/>
          <w:sz w:val="14"/>
          <w:szCs w:val="1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56"/>
      </w:tblGrid>
      <w:tr w:rsidR="00333DD0" w:rsidRPr="00D41CBE" w14:paraId="1CBF4922" w14:textId="77777777">
        <w:trPr>
          <w:trHeight w:val="605"/>
        </w:trPr>
        <w:tc>
          <w:tcPr>
            <w:tcW w:w="9355" w:type="dxa"/>
            <w:shd w:val="clear" w:color="auto" w:fill="0070C0"/>
            <w:vAlign w:val="center"/>
          </w:tcPr>
          <w:p w14:paraId="46574357" w14:textId="5D3A8D25" w:rsidR="00333DD0" w:rsidRPr="00D41CBE" w:rsidRDefault="00333DD0">
            <w:pPr>
              <w:rPr>
                <w:rFonts w:cs="Arial"/>
                <w:i/>
                <w:iCs/>
                <w:color w:val="auto"/>
                <w:sz w:val="18"/>
                <w:szCs w:val="18"/>
              </w:rPr>
            </w:pPr>
            <w:r w:rsidRPr="00D41CBE">
              <w:rPr>
                <w:rFonts w:cs="Arial"/>
                <w:b/>
                <w:bCs/>
                <w:color w:val="FFFFFF" w:themeColor="text1"/>
              </w:rPr>
              <w:t>202</w:t>
            </w:r>
            <w:r w:rsidR="00266C07" w:rsidRPr="00D41CBE">
              <w:rPr>
                <w:rFonts w:cs="Arial"/>
                <w:b/>
                <w:bCs/>
                <w:color w:val="FFFFFF" w:themeColor="text1"/>
              </w:rPr>
              <w:t>6</w:t>
            </w:r>
            <w:r w:rsidRPr="00D41CBE">
              <w:rPr>
                <w:rFonts w:cs="Arial"/>
                <w:b/>
                <w:bCs/>
                <w:color w:val="FFFFFF" w:themeColor="text1"/>
              </w:rPr>
              <w:t>/2</w:t>
            </w:r>
            <w:r w:rsidR="00266C07" w:rsidRPr="00D41CBE">
              <w:rPr>
                <w:rFonts w:cs="Arial"/>
                <w:b/>
                <w:bCs/>
                <w:color w:val="FFFFFF" w:themeColor="text1"/>
              </w:rPr>
              <w:t>7</w:t>
            </w:r>
            <w:r w:rsidRPr="00D41CBE">
              <w:rPr>
                <w:rFonts w:cs="Arial"/>
                <w:b/>
                <w:bCs/>
                <w:color w:val="FFFFFF" w:themeColor="text1"/>
              </w:rPr>
              <w:t xml:space="preserve"> CDEL allocations and sources of funding</w:t>
            </w:r>
          </w:p>
        </w:tc>
      </w:tr>
      <w:tr w:rsidR="00333DD0" w:rsidRPr="00D41CBE" w14:paraId="535EA7F6" w14:textId="77777777">
        <w:trPr>
          <w:trHeight w:val="132"/>
        </w:trPr>
        <w:tc>
          <w:tcPr>
            <w:tcW w:w="9355" w:type="dxa"/>
          </w:tcPr>
          <w:p w14:paraId="1657DF7F" w14:textId="544EB7E8" w:rsidR="00327E3E" w:rsidRPr="00D41CBE" w:rsidRDefault="00327E3E" w:rsidP="00327E3E">
            <w:pPr>
              <w:rPr>
                <w:rFonts w:cs="Arial"/>
                <w:color w:val="auto"/>
                <w:sz w:val="22"/>
                <w:szCs w:val="22"/>
              </w:rPr>
            </w:pPr>
            <w:r w:rsidRPr="00D41CBE">
              <w:rPr>
                <w:rFonts w:cs="Arial"/>
                <w:color w:val="auto"/>
                <w:sz w:val="22"/>
                <w:szCs w:val="22"/>
              </w:rPr>
              <w:t xml:space="preserve">The main source of funding for the System capital programme is the System operational capital resource limit (resources through internally generated funding, cash and depreciation within organisations), other sources include disposals, national programme funding for specific schemes, </w:t>
            </w:r>
            <w:r w:rsidR="003103E9" w:rsidRPr="00D41CBE">
              <w:rPr>
                <w:rFonts w:cs="Arial"/>
                <w:color w:val="auto"/>
                <w:sz w:val="22"/>
                <w:szCs w:val="22"/>
              </w:rPr>
              <w:t xml:space="preserve">and </w:t>
            </w:r>
            <w:r w:rsidRPr="00D41CBE">
              <w:rPr>
                <w:rFonts w:cs="Arial"/>
                <w:color w:val="auto"/>
                <w:sz w:val="22"/>
                <w:szCs w:val="22"/>
              </w:rPr>
              <w:t>capital.  The total programme funding is shown below.</w:t>
            </w:r>
            <w:r w:rsidR="00355691" w:rsidRPr="00D41CBE">
              <w:rPr>
                <w:rFonts w:cs="Arial"/>
                <w:color w:val="auto"/>
                <w:sz w:val="22"/>
                <w:szCs w:val="22"/>
              </w:rPr>
              <w:t xml:space="preserve"> </w:t>
            </w:r>
          </w:p>
          <w:p w14:paraId="7FBA4B98" w14:textId="6715B1BF" w:rsidR="005308DE" w:rsidRPr="00D41CBE" w:rsidRDefault="00BD77F8" w:rsidP="00327E3E">
            <w:pPr>
              <w:rPr>
                <w:rFonts w:cs="Arial"/>
                <w:color w:val="auto"/>
                <w:sz w:val="22"/>
                <w:szCs w:val="22"/>
              </w:rPr>
            </w:pPr>
            <w:r w:rsidRPr="00D41CBE">
              <w:rPr>
                <w:rFonts w:cs="Arial"/>
                <w:noProof/>
                <w:color w:val="auto"/>
                <w:sz w:val="22"/>
                <w:szCs w:val="22"/>
              </w:rPr>
              <w:drawing>
                <wp:inline distT="0" distB="0" distL="0" distR="0" wp14:anchorId="721D14C4" wp14:editId="013F577D">
                  <wp:extent cx="6053549" cy="3933825"/>
                  <wp:effectExtent l="0" t="0" r="4445" b="0"/>
                  <wp:docPr id="36023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36563" name=""/>
                          <pic:cNvPicPr/>
                        </pic:nvPicPr>
                        <pic:blipFill>
                          <a:blip r:embed="rId16"/>
                          <a:stretch>
                            <a:fillRect/>
                          </a:stretch>
                        </pic:blipFill>
                        <pic:spPr>
                          <a:xfrm>
                            <a:off x="0" y="0"/>
                            <a:ext cx="6055639" cy="3935183"/>
                          </a:xfrm>
                          <a:prstGeom prst="rect">
                            <a:avLst/>
                          </a:prstGeom>
                        </pic:spPr>
                      </pic:pic>
                    </a:graphicData>
                  </a:graphic>
                </wp:inline>
              </w:drawing>
            </w:r>
          </w:p>
          <w:p w14:paraId="374C28CE" w14:textId="77777777" w:rsidR="009D5102" w:rsidRPr="00D41CBE" w:rsidRDefault="00327E3E" w:rsidP="00327E3E">
            <w:pPr>
              <w:rPr>
                <w:rFonts w:cs="Arial"/>
                <w:color w:val="auto"/>
              </w:rPr>
            </w:pPr>
            <w:r w:rsidRPr="00D41CBE">
              <w:rPr>
                <w:rFonts w:cs="Arial"/>
                <w:color w:val="auto"/>
              </w:rPr>
              <w:t xml:space="preserve">Organisations, in line with their strategies, have </w:t>
            </w:r>
            <w:proofErr w:type="gramStart"/>
            <w:r w:rsidRPr="00D41CBE">
              <w:rPr>
                <w:rFonts w:cs="Arial"/>
                <w:color w:val="auto"/>
              </w:rPr>
              <w:t>a number of</w:t>
            </w:r>
            <w:proofErr w:type="gramEnd"/>
            <w:r w:rsidRPr="00D41CBE">
              <w:rPr>
                <w:rFonts w:cs="Arial"/>
                <w:color w:val="auto"/>
              </w:rPr>
              <w:t xml:space="preserve"> disposals planned in this and future years.  These disposals form part of the overall capital planning and provide an additional source of capital funding.  It is anticipated that as part of the infrastructure strategy currently being finalised, other opportunities to dispose of land and buildings may be identified and built into capital planning for future years.</w:t>
            </w:r>
            <w:r w:rsidR="009D5102" w:rsidRPr="00D41CBE">
              <w:rPr>
                <w:rFonts w:cs="Arial"/>
                <w:color w:val="auto"/>
              </w:rPr>
              <w:t xml:space="preserve"> </w:t>
            </w:r>
          </w:p>
          <w:p w14:paraId="4B95249F" w14:textId="2D79DE26" w:rsidR="00327E3E" w:rsidRPr="00D41CBE" w:rsidRDefault="009D5102" w:rsidP="00327E3E">
            <w:pPr>
              <w:rPr>
                <w:rFonts w:cs="Arial"/>
                <w:color w:val="auto"/>
              </w:rPr>
            </w:pPr>
            <w:r w:rsidRPr="00D41CBE">
              <w:rPr>
                <w:rFonts w:cs="Arial"/>
                <w:color w:val="auto"/>
              </w:rPr>
              <w:t>The national program funding includes the following:</w:t>
            </w:r>
          </w:p>
          <w:p w14:paraId="0F91E03E" w14:textId="6B8BA33B" w:rsidR="005308DE" w:rsidRPr="00D41CBE" w:rsidRDefault="009A1AE5">
            <w:pPr>
              <w:rPr>
                <w:rFonts w:cs="Arial"/>
                <w:color w:val="auto"/>
              </w:rPr>
            </w:pPr>
            <w:r w:rsidRPr="00D41CBE">
              <w:rPr>
                <w:rFonts w:cs="Arial"/>
                <w:b/>
                <w:bCs/>
                <w:color w:val="auto"/>
              </w:rPr>
              <w:t>*</w:t>
            </w:r>
            <w:r w:rsidR="005308DE" w:rsidRPr="00D41CBE">
              <w:rPr>
                <w:rFonts w:cs="Arial"/>
                <w:b/>
                <w:bCs/>
                <w:color w:val="auto"/>
              </w:rPr>
              <w:t>Constitutional standards and hospital to community shift</w:t>
            </w:r>
            <w:r w:rsidR="005308DE" w:rsidRPr="00D41CBE">
              <w:rPr>
                <w:rFonts w:cs="Arial"/>
                <w:color w:val="auto"/>
              </w:rPr>
              <w:t xml:space="preserve">   - </w:t>
            </w:r>
            <w:r w:rsidR="009D5102" w:rsidRPr="00D41CBE">
              <w:rPr>
                <w:rFonts w:cs="Arial"/>
                <w:color w:val="auto"/>
              </w:rPr>
              <w:t xml:space="preserve">will </w:t>
            </w:r>
            <w:r w:rsidR="005308DE" w:rsidRPr="00D41CBE">
              <w:rPr>
                <w:rFonts w:cs="Arial"/>
                <w:color w:val="auto"/>
              </w:rPr>
              <w:t>help fund transformation and additional capacity needed in primary, community and acute settings to support the return to elective constitutional standards</w:t>
            </w:r>
          </w:p>
          <w:p w14:paraId="024297BE" w14:textId="531B8CEE" w:rsidR="005308DE" w:rsidRPr="00D41CBE" w:rsidRDefault="005308DE">
            <w:pPr>
              <w:rPr>
                <w:rFonts w:cs="Arial"/>
                <w:color w:val="auto"/>
              </w:rPr>
            </w:pPr>
            <w:r w:rsidRPr="00D41CBE">
              <w:rPr>
                <w:rFonts w:cs="Arial"/>
                <w:b/>
                <w:bCs/>
                <w:color w:val="auto"/>
              </w:rPr>
              <w:t>Estates Safety Fund</w:t>
            </w:r>
            <w:r w:rsidRPr="00D41CBE">
              <w:rPr>
                <w:rFonts w:cs="Arial"/>
                <w:color w:val="auto"/>
              </w:rPr>
              <w:t xml:space="preserve"> </w:t>
            </w:r>
            <w:r w:rsidR="009A1AE5" w:rsidRPr="00D41CBE">
              <w:rPr>
                <w:rFonts w:cs="Arial"/>
                <w:color w:val="auto"/>
              </w:rPr>
              <w:t xml:space="preserve">(£10m) </w:t>
            </w:r>
            <w:r w:rsidRPr="00D41CBE">
              <w:rPr>
                <w:rFonts w:cs="Arial"/>
                <w:color w:val="auto"/>
              </w:rPr>
              <w:t>- will address critical infrastructure risks and compliance</w:t>
            </w:r>
          </w:p>
          <w:p w14:paraId="11F6AE75" w14:textId="786E2456" w:rsidR="005308DE" w:rsidRPr="00D41CBE" w:rsidRDefault="005308DE">
            <w:pPr>
              <w:rPr>
                <w:rFonts w:cs="Arial"/>
                <w:color w:val="auto"/>
              </w:rPr>
            </w:pPr>
            <w:r w:rsidRPr="00D41CBE">
              <w:rPr>
                <w:rFonts w:cs="Arial"/>
                <w:b/>
                <w:bCs/>
                <w:color w:val="auto"/>
              </w:rPr>
              <w:t>ICB Utilisation and Modernisation fund</w:t>
            </w:r>
            <w:r w:rsidR="009A1AE5" w:rsidRPr="00D41CBE">
              <w:rPr>
                <w:rFonts w:cs="Arial"/>
                <w:b/>
                <w:bCs/>
                <w:color w:val="auto"/>
              </w:rPr>
              <w:t xml:space="preserve"> </w:t>
            </w:r>
            <w:r w:rsidR="009A1AE5" w:rsidRPr="00D41CBE">
              <w:rPr>
                <w:rFonts w:cs="Arial"/>
                <w:color w:val="auto"/>
              </w:rPr>
              <w:t>(£500k)</w:t>
            </w:r>
            <w:r w:rsidRPr="00D41CBE">
              <w:rPr>
                <w:rFonts w:cs="Arial"/>
                <w:b/>
                <w:bCs/>
                <w:color w:val="auto"/>
              </w:rPr>
              <w:t xml:space="preserve"> - </w:t>
            </w:r>
            <w:r w:rsidRPr="00D41CBE">
              <w:rPr>
                <w:rFonts w:cs="Arial"/>
                <w:color w:val="auto"/>
              </w:rPr>
              <w:t>expanding access to primary care, supporting delivery neighbourhood health centres through refurbishment of existing buildings</w:t>
            </w:r>
          </w:p>
          <w:p w14:paraId="4CA2D9B1" w14:textId="5A693F2E" w:rsidR="005308DE" w:rsidRPr="00D41CBE" w:rsidRDefault="009D5102">
            <w:pPr>
              <w:rPr>
                <w:rFonts w:cs="Arial"/>
                <w:color w:val="auto"/>
              </w:rPr>
            </w:pPr>
            <w:r w:rsidRPr="00D41CBE">
              <w:rPr>
                <w:rFonts w:cs="Arial"/>
                <w:color w:val="auto"/>
              </w:rPr>
              <w:t xml:space="preserve">*Constitutional standards </w:t>
            </w:r>
            <w:proofErr w:type="gramStart"/>
            <w:r w:rsidRPr="00D41CBE">
              <w:rPr>
                <w:rFonts w:cs="Arial"/>
                <w:color w:val="auto"/>
              </w:rPr>
              <w:t>bids</w:t>
            </w:r>
            <w:proofErr w:type="gramEnd"/>
            <w:r w:rsidRPr="00D41CBE">
              <w:rPr>
                <w:rFonts w:cs="Arial"/>
                <w:color w:val="auto"/>
              </w:rPr>
              <w:t xml:space="preserve"> still being finalised.</w:t>
            </w:r>
          </w:p>
          <w:p w14:paraId="63264F59" w14:textId="0711EFB8" w:rsidR="009A1AE5" w:rsidRPr="00D41CBE" w:rsidRDefault="009A1AE5">
            <w:pPr>
              <w:rPr>
                <w:rFonts w:cs="Arial"/>
                <w:b/>
                <w:bCs/>
                <w:color w:val="auto"/>
                <w:u w:val="single"/>
              </w:rPr>
            </w:pPr>
            <w:r w:rsidRPr="00D41CBE">
              <w:rPr>
                <w:rFonts w:cs="Arial"/>
                <w:b/>
                <w:bCs/>
                <w:color w:val="auto"/>
                <w:u w:val="single"/>
              </w:rPr>
              <w:t xml:space="preserve">GHC </w:t>
            </w:r>
          </w:p>
          <w:p w14:paraId="332EBD49" w14:textId="77777777" w:rsidR="009A1AE5" w:rsidRPr="00D41CBE" w:rsidRDefault="009A1AE5" w:rsidP="009A1AE5">
            <w:pPr>
              <w:tabs>
                <w:tab w:val="left" w:pos="567"/>
              </w:tabs>
              <w:spacing w:after="0" w:line="240" w:lineRule="auto"/>
              <w:jc w:val="both"/>
              <w:rPr>
                <w:color w:val="auto"/>
              </w:rPr>
            </w:pPr>
            <w:r w:rsidRPr="00D41CBE">
              <w:rPr>
                <w:rFonts w:cs="Arial"/>
                <w:color w:val="auto"/>
              </w:rPr>
              <w:t xml:space="preserve">During 26/27 the Trust intends to invest significantly in enabling schemes for the development of Cirencester Hospital, the </w:t>
            </w:r>
            <w:r w:rsidRPr="00D41CBE">
              <w:rPr>
                <w:color w:val="auto"/>
              </w:rPr>
              <w:t>identification of a new site for training services</w:t>
            </w:r>
            <w:r w:rsidRPr="00D41CBE">
              <w:rPr>
                <w:rFonts w:cs="Arial"/>
                <w:color w:val="auto"/>
              </w:rPr>
              <w:t>,</w:t>
            </w:r>
            <w:r w:rsidRPr="00D41CBE">
              <w:rPr>
                <w:color w:val="auto"/>
              </w:rPr>
              <w:t xml:space="preserve"> progression of the Transforming Care Digitally programme and the continuing reduction in backlog maintenance. </w:t>
            </w:r>
          </w:p>
          <w:p w14:paraId="232065CC" w14:textId="77777777" w:rsidR="009A1AE5" w:rsidRPr="00D41CBE" w:rsidRDefault="009A1AE5" w:rsidP="009A1AE5">
            <w:pPr>
              <w:tabs>
                <w:tab w:val="left" w:pos="567"/>
              </w:tabs>
              <w:spacing w:after="0" w:line="240" w:lineRule="auto"/>
              <w:jc w:val="both"/>
              <w:rPr>
                <w:color w:val="auto"/>
              </w:rPr>
            </w:pPr>
          </w:p>
          <w:p w14:paraId="2CEE1981" w14:textId="77777777" w:rsidR="009A1AE5" w:rsidRPr="00D41CBE" w:rsidRDefault="009A1AE5" w:rsidP="009A1AE5">
            <w:pPr>
              <w:tabs>
                <w:tab w:val="left" w:pos="567"/>
              </w:tabs>
              <w:spacing w:after="0" w:line="240" w:lineRule="auto"/>
              <w:jc w:val="both"/>
              <w:rPr>
                <w:rFonts w:cs="Arial"/>
                <w:color w:val="auto"/>
              </w:rPr>
            </w:pPr>
            <w:r w:rsidRPr="00D41CBE">
              <w:rPr>
                <w:color w:val="auto"/>
              </w:rPr>
              <w:t xml:space="preserve">To support the development of the Cirencester Hospital site the Trust will progress the sale of the Brokenborough land in </w:t>
            </w:r>
            <w:proofErr w:type="spellStart"/>
            <w:r w:rsidRPr="00D41CBE">
              <w:rPr>
                <w:color w:val="auto"/>
              </w:rPr>
              <w:t>Malmesbury</w:t>
            </w:r>
            <w:proofErr w:type="spellEnd"/>
            <w:r w:rsidRPr="00D41CBE">
              <w:rPr>
                <w:color w:val="auto"/>
              </w:rPr>
              <w:t xml:space="preserve"> </w:t>
            </w:r>
            <w:proofErr w:type="gramStart"/>
            <w:r w:rsidRPr="00D41CBE">
              <w:rPr>
                <w:color w:val="auto"/>
              </w:rPr>
              <w:t>in order to</w:t>
            </w:r>
            <w:proofErr w:type="gramEnd"/>
            <w:r w:rsidRPr="00D41CBE">
              <w:rPr>
                <w:color w:val="auto"/>
              </w:rPr>
              <w:t xml:space="preserve"> generate a receipt to help fund the capital programme. Following the recent granting of planning permission the Trust is working with its advisers to progress the disposal in 26/27.</w:t>
            </w:r>
          </w:p>
          <w:p w14:paraId="45552DE6" w14:textId="77777777" w:rsidR="009A1AE5" w:rsidRPr="00D41CBE" w:rsidRDefault="009A1AE5" w:rsidP="009A1AE5">
            <w:pPr>
              <w:tabs>
                <w:tab w:val="left" w:pos="567"/>
              </w:tabs>
              <w:spacing w:after="0" w:line="240" w:lineRule="auto"/>
              <w:jc w:val="both"/>
              <w:rPr>
                <w:rFonts w:cs="Arial"/>
                <w:color w:val="auto"/>
              </w:rPr>
            </w:pPr>
          </w:p>
          <w:p w14:paraId="532E52E3" w14:textId="6E4AC7A5" w:rsidR="009A1AE5" w:rsidRPr="00D41CBE" w:rsidRDefault="009A1AE5" w:rsidP="009A1AE5">
            <w:pPr>
              <w:rPr>
                <w:rFonts w:cs="Arial"/>
                <w:color w:val="auto"/>
              </w:rPr>
            </w:pPr>
            <w:r w:rsidRPr="00D41CBE">
              <w:rPr>
                <w:rFonts w:cs="Arial"/>
                <w:color w:val="auto"/>
              </w:rPr>
              <w:t>The overall capital plan for the Trust anticipates a spend of £16.208m in 26/27 before disposals of buildings and leases of £2.895m. The programme balances except for the 5% tolerance limit allowed by NHSE. The Trust will need to balance the programme through refinement of scheme costs, the identification of additional disposals, additional funding from bids to national funding streams.</w:t>
            </w:r>
          </w:p>
          <w:p w14:paraId="28A34DD7" w14:textId="0573D0CD" w:rsidR="009A1AE5" w:rsidRPr="00D41CBE" w:rsidRDefault="009A1AE5" w:rsidP="009A1AE5">
            <w:pPr>
              <w:rPr>
                <w:rFonts w:cs="Arial"/>
                <w:b/>
                <w:bCs/>
                <w:color w:val="auto"/>
                <w:u w:val="single"/>
              </w:rPr>
            </w:pPr>
            <w:r w:rsidRPr="00D41CBE">
              <w:rPr>
                <w:rFonts w:cs="Arial"/>
                <w:b/>
                <w:bCs/>
                <w:color w:val="auto"/>
                <w:u w:val="single"/>
              </w:rPr>
              <w:t>GHFT</w:t>
            </w:r>
          </w:p>
          <w:p w14:paraId="01BA0AA4" w14:textId="77777777" w:rsidR="00565C95" w:rsidRPr="00D41CBE" w:rsidRDefault="00565C95" w:rsidP="00565C95">
            <w:pPr>
              <w:rPr>
                <w:rFonts w:cs="Arial"/>
                <w:color w:val="auto"/>
              </w:rPr>
            </w:pPr>
            <w:r w:rsidRPr="00D41CBE">
              <w:rPr>
                <w:rFonts w:cs="Arial"/>
                <w:color w:val="auto"/>
              </w:rPr>
              <w:t>The Trust’s draft capital plan in 26/27 totals £59.1m.</w:t>
            </w:r>
          </w:p>
          <w:p w14:paraId="5936DE43" w14:textId="77777777" w:rsidR="00565C95" w:rsidRPr="00D41CBE" w:rsidRDefault="00565C95" w:rsidP="00565C95">
            <w:pPr>
              <w:rPr>
                <w:rFonts w:cs="Arial"/>
                <w:color w:val="auto"/>
              </w:rPr>
            </w:pPr>
            <w:r w:rsidRPr="00D41CBE">
              <w:rPr>
                <w:rFonts w:cs="Arial"/>
                <w:color w:val="auto"/>
              </w:rPr>
              <w:t xml:space="preserve">The Trust has successfully bid for funding for several schemes from national programme capital which has provisionally been allocated. This includes £10m for Estates Safety, £7m for Urgent Treatment Centre and £3m for SDEC Development.  In </w:t>
            </w:r>
            <w:proofErr w:type="gramStart"/>
            <w:r w:rsidRPr="00D41CBE">
              <w:rPr>
                <w:rFonts w:cs="Arial"/>
                <w:color w:val="auto"/>
              </w:rPr>
              <w:t>addition</w:t>
            </w:r>
            <w:proofErr w:type="gramEnd"/>
            <w:r w:rsidRPr="00D41CBE">
              <w:rPr>
                <w:rFonts w:cs="Arial"/>
                <w:color w:val="auto"/>
              </w:rPr>
              <w:t xml:space="preserve"> a further £2m of national estates safety funding is expected to be allocated to the Trust, this is still to be confirmed.  </w:t>
            </w:r>
          </w:p>
          <w:p w14:paraId="28F9A263" w14:textId="77777777" w:rsidR="00565C95" w:rsidRPr="00D41CBE" w:rsidRDefault="00565C95" w:rsidP="00565C95">
            <w:pPr>
              <w:rPr>
                <w:rFonts w:cs="Arial"/>
                <w:color w:val="auto"/>
              </w:rPr>
            </w:pPr>
            <w:r w:rsidRPr="00D41CBE">
              <w:rPr>
                <w:rFonts w:cs="Arial"/>
                <w:color w:val="auto"/>
              </w:rPr>
              <w:t xml:space="preserve">The plan includes an assumption around funding from IFRIC 12 (£0.5m) and donated funds (£0.5m). The donated funds assumption is likely to go up in subsequent years due to the Gloucestershire Cancer Centre fund raising </w:t>
            </w:r>
            <w:proofErr w:type="gramStart"/>
            <w:r w:rsidRPr="00D41CBE">
              <w:rPr>
                <w:rFonts w:cs="Arial"/>
                <w:color w:val="auto"/>
              </w:rPr>
              <w:t>campaign</w:t>
            </w:r>
            <w:proofErr w:type="gramEnd"/>
            <w:r w:rsidRPr="00D41CBE">
              <w:rPr>
                <w:rFonts w:cs="Arial"/>
                <w:color w:val="auto"/>
              </w:rPr>
              <w:t xml:space="preserve"> but this has been excluded for now until there is greater certainty over the value and timing.  This has zero impact on CDEL.</w:t>
            </w:r>
          </w:p>
          <w:p w14:paraId="0BD7659E" w14:textId="77777777" w:rsidR="00565C95" w:rsidRPr="00D41CBE" w:rsidRDefault="00565C95" w:rsidP="00565C95">
            <w:pPr>
              <w:rPr>
                <w:rFonts w:cs="Arial"/>
                <w:color w:val="auto"/>
              </w:rPr>
            </w:pPr>
            <w:r w:rsidRPr="00D41CBE">
              <w:rPr>
                <w:rFonts w:cs="Arial"/>
                <w:color w:val="auto"/>
              </w:rPr>
              <w:t>As a result of the system delivering it’s 25/26 revenue position, it has been agreed that GHFT will receive capital fair shares bonus in 26/27 of £6.8m.  It has been agreed that this will fund the remainder of the first phase of the new Department of Critical Care (DCC) build.</w:t>
            </w:r>
          </w:p>
          <w:p w14:paraId="1209B1D0" w14:textId="200159F8" w:rsidR="00C20E34" w:rsidRPr="00D41CBE" w:rsidRDefault="00C20E34" w:rsidP="00FA7AD1">
            <w:pPr>
              <w:rPr>
                <w:rFonts w:cs="Arial"/>
                <w:b/>
                <w:bCs/>
                <w:color w:val="auto"/>
                <w:u w:val="single"/>
              </w:rPr>
            </w:pPr>
            <w:r w:rsidRPr="00D41CBE">
              <w:rPr>
                <w:rFonts w:cs="Arial"/>
                <w:b/>
                <w:bCs/>
                <w:color w:val="auto"/>
                <w:u w:val="single"/>
              </w:rPr>
              <w:t>ICB</w:t>
            </w:r>
          </w:p>
          <w:p w14:paraId="6ADFF62B" w14:textId="77777777" w:rsidR="00C20E34" w:rsidRPr="00D41CBE" w:rsidRDefault="00C20E34" w:rsidP="00C20E34">
            <w:pPr>
              <w:rPr>
                <w:rFonts w:cs="Arial"/>
                <w:color w:val="auto"/>
              </w:rPr>
            </w:pPr>
            <w:r w:rsidRPr="00D41CBE">
              <w:rPr>
                <w:rFonts w:cs="Arial"/>
                <w:color w:val="auto"/>
              </w:rPr>
              <w:t>The ICB capital plan includes the following:</w:t>
            </w:r>
          </w:p>
          <w:p w14:paraId="2CF3BA18" w14:textId="77777777" w:rsidR="00C20E34" w:rsidRPr="00D41CBE" w:rsidRDefault="00C20E34" w:rsidP="00C20E34">
            <w:pPr>
              <w:rPr>
                <w:rFonts w:cs="Arial"/>
                <w:color w:val="auto"/>
              </w:rPr>
            </w:pPr>
            <w:r w:rsidRPr="00D41CBE">
              <w:rPr>
                <w:rFonts w:cs="Arial"/>
                <w:color w:val="auto"/>
              </w:rPr>
              <w:t>-</w:t>
            </w:r>
            <w:r w:rsidRPr="00D41CBE">
              <w:rPr>
                <w:rFonts w:cs="Arial"/>
                <w:color w:val="auto"/>
              </w:rPr>
              <w:tab/>
              <w:t>Strategic capital: Lydney primary care and neighbourhood development</w:t>
            </w:r>
          </w:p>
          <w:p w14:paraId="1D3708E8" w14:textId="77777777" w:rsidR="00C20E34" w:rsidRPr="00D41CBE" w:rsidRDefault="00C20E34" w:rsidP="00C20E34">
            <w:pPr>
              <w:rPr>
                <w:rFonts w:cs="Arial"/>
                <w:color w:val="auto"/>
              </w:rPr>
            </w:pPr>
            <w:r w:rsidRPr="00D41CBE">
              <w:rPr>
                <w:rFonts w:cs="Arial"/>
                <w:color w:val="auto"/>
              </w:rPr>
              <w:t>-</w:t>
            </w:r>
            <w:r w:rsidRPr="00D41CBE">
              <w:rPr>
                <w:rFonts w:cs="Arial"/>
                <w:color w:val="auto"/>
              </w:rPr>
              <w:tab/>
              <w:t>Business as usual capital for primary care IT and minor improvement grants</w:t>
            </w:r>
          </w:p>
          <w:p w14:paraId="6BEF6031" w14:textId="77777777" w:rsidR="009A1AE5" w:rsidRPr="00D41CBE" w:rsidRDefault="009A1AE5">
            <w:pPr>
              <w:rPr>
                <w:rFonts w:cs="Arial"/>
                <w:color w:val="auto"/>
              </w:rPr>
            </w:pPr>
          </w:p>
          <w:p w14:paraId="5ACF00DA" w14:textId="77777777" w:rsidR="00364E2C" w:rsidRPr="00D41CBE" w:rsidRDefault="00364E2C" w:rsidP="00364E2C">
            <w:pPr>
              <w:spacing w:after="0" w:line="240" w:lineRule="auto"/>
              <w:contextualSpacing/>
              <w:textboxTightWrap w:val="none"/>
              <w:rPr>
                <w:color w:val="auto"/>
              </w:rPr>
            </w:pPr>
            <w:r w:rsidRPr="00D41CBE">
              <w:rPr>
                <w:rFonts w:cs="Arial"/>
                <w:b/>
                <w:bCs/>
                <w:color w:val="auto"/>
              </w:rPr>
              <w:t>Risks and contingencies</w:t>
            </w:r>
            <w:r w:rsidRPr="00D41CBE">
              <w:rPr>
                <w:color w:val="auto"/>
              </w:rPr>
              <w:t xml:space="preserve"> </w:t>
            </w:r>
          </w:p>
          <w:p w14:paraId="600F8B92" w14:textId="77777777" w:rsidR="00364E2C" w:rsidRPr="00D41CBE" w:rsidRDefault="00364E2C" w:rsidP="00364E2C">
            <w:pPr>
              <w:spacing w:after="0" w:line="240" w:lineRule="auto"/>
              <w:contextualSpacing/>
              <w:textboxTightWrap w:val="none"/>
              <w:rPr>
                <w:color w:val="auto"/>
              </w:rPr>
            </w:pPr>
          </w:p>
          <w:p w14:paraId="58E5B397" w14:textId="33057D2B" w:rsidR="00364E2C" w:rsidRPr="00D41CBE" w:rsidRDefault="00364E2C" w:rsidP="00364E2C">
            <w:pPr>
              <w:spacing w:after="0" w:line="240" w:lineRule="auto"/>
              <w:contextualSpacing/>
              <w:textboxTightWrap w:val="none"/>
              <w:rPr>
                <w:color w:val="auto"/>
              </w:rPr>
            </w:pPr>
            <w:r w:rsidRPr="00D41CBE">
              <w:rPr>
                <w:color w:val="auto"/>
              </w:rPr>
              <w:t xml:space="preserve">The System has taken a risk-based approach to prioritise expenditure within the capital allocation. The capital budget is </w:t>
            </w:r>
            <w:proofErr w:type="gramStart"/>
            <w:r w:rsidRPr="00D41CBE">
              <w:rPr>
                <w:color w:val="auto"/>
              </w:rPr>
              <w:t>limited</w:t>
            </w:r>
            <w:proofErr w:type="gramEnd"/>
            <w:r w:rsidRPr="00D41CBE">
              <w:rPr>
                <w:color w:val="auto"/>
              </w:rPr>
              <w:t xml:space="preserve"> and we need to ensure that our services and environments are safe and fit-for-purpose for patients, staff and the public, balancing investment between backlog maintenance, replacing old and ageing medical scanners, investment in cyber security and major estates developments. </w:t>
            </w:r>
          </w:p>
          <w:p w14:paraId="7F279E77" w14:textId="77777777" w:rsidR="00364E2C" w:rsidRPr="00D41CBE" w:rsidRDefault="00364E2C" w:rsidP="00364E2C">
            <w:pPr>
              <w:spacing w:after="0" w:line="240" w:lineRule="auto"/>
              <w:contextualSpacing/>
              <w:textboxTightWrap w:val="none"/>
              <w:rPr>
                <w:color w:val="auto"/>
              </w:rPr>
            </w:pPr>
          </w:p>
          <w:p w14:paraId="2DF729AD" w14:textId="04351F67" w:rsidR="00364E2C" w:rsidRPr="00D41CBE" w:rsidRDefault="00364E2C" w:rsidP="00364E2C">
            <w:pPr>
              <w:spacing w:after="0" w:line="240" w:lineRule="auto"/>
              <w:contextualSpacing/>
              <w:textboxTightWrap w:val="none"/>
              <w:rPr>
                <w:color w:val="auto"/>
              </w:rPr>
            </w:pPr>
            <w:r w:rsidRPr="00D41CBE">
              <w:rPr>
                <w:color w:val="auto"/>
              </w:rPr>
              <w:t>Key risks to monitor and manage throughout 202</w:t>
            </w:r>
            <w:r w:rsidR="005358C3" w:rsidRPr="00D41CBE">
              <w:rPr>
                <w:color w:val="auto"/>
              </w:rPr>
              <w:t>6</w:t>
            </w:r>
            <w:r w:rsidRPr="00D41CBE">
              <w:rPr>
                <w:color w:val="auto"/>
              </w:rPr>
              <w:t>/2</w:t>
            </w:r>
            <w:r w:rsidR="005358C3" w:rsidRPr="00D41CBE">
              <w:rPr>
                <w:color w:val="auto"/>
              </w:rPr>
              <w:t>7</w:t>
            </w:r>
            <w:r w:rsidRPr="00D41CBE">
              <w:rPr>
                <w:color w:val="auto"/>
              </w:rPr>
              <w:t xml:space="preserve"> include: </w:t>
            </w:r>
          </w:p>
          <w:p w14:paraId="2E52580F" w14:textId="77777777" w:rsidR="00C40E89" w:rsidRPr="00D41CBE" w:rsidRDefault="00C40E89" w:rsidP="00364E2C">
            <w:pPr>
              <w:spacing w:after="0" w:line="240" w:lineRule="auto"/>
              <w:contextualSpacing/>
              <w:textboxTightWrap w:val="none"/>
              <w:rPr>
                <w:color w:val="auto"/>
              </w:rPr>
            </w:pPr>
          </w:p>
          <w:p w14:paraId="7E06A1CB" w14:textId="4D9801EF" w:rsidR="00364E2C" w:rsidRPr="00D41CBE" w:rsidRDefault="00364E2C" w:rsidP="00364E2C">
            <w:pPr>
              <w:pStyle w:val="ListParagraph"/>
              <w:numPr>
                <w:ilvl w:val="0"/>
                <w:numId w:val="30"/>
              </w:numPr>
              <w:spacing w:after="0" w:line="240" w:lineRule="auto"/>
              <w:contextualSpacing/>
              <w:textboxTightWrap w:val="none"/>
              <w:rPr>
                <w:rFonts w:cs="Arial"/>
                <w:color w:val="auto"/>
                <w:sz w:val="22"/>
                <w:szCs w:val="22"/>
              </w:rPr>
            </w:pPr>
            <w:r w:rsidRPr="00D41CBE">
              <w:rPr>
                <w:color w:val="auto"/>
              </w:rPr>
              <w:t>Not being able to deliver to the timelines built into the plan, for instance, due to underestimating the timelines required for business case approval processes</w:t>
            </w:r>
            <w:r w:rsidR="00C40E89" w:rsidRPr="00D41CBE">
              <w:rPr>
                <w:color w:val="auto"/>
              </w:rPr>
              <w:t xml:space="preserve"> or procurement</w:t>
            </w:r>
            <w:r w:rsidRPr="00D41CBE">
              <w:rPr>
                <w:color w:val="auto"/>
              </w:rPr>
              <w:t xml:space="preserve">. If these processes take longer than we anticipate, this can impact the phasing of expenditure and estimated prices, should this </w:t>
            </w:r>
            <w:proofErr w:type="gramStart"/>
            <w:r w:rsidRPr="00D41CBE">
              <w:rPr>
                <w:color w:val="auto"/>
              </w:rPr>
              <w:t>occur</w:t>
            </w:r>
            <w:proofErr w:type="gramEnd"/>
            <w:r w:rsidRPr="00D41CBE">
              <w:rPr>
                <w:color w:val="auto"/>
              </w:rPr>
              <w:t xml:space="preserve"> we will reprioritise the schemes in the plan. </w:t>
            </w:r>
          </w:p>
          <w:p w14:paraId="5F79E1AE" w14:textId="77777777" w:rsidR="00364E2C" w:rsidRPr="00D41CBE" w:rsidRDefault="00364E2C" w:rsidP="00364E2C">
            <w:pPr>
              <w:pStyle w:val="ListParagraph"/>
              <w:spacing w:after="0" w:line="240" w:lineRule="auto"/>
              <w:ind w:left="720" w:firstLine="0"/>
              <w:contextualSpacing/>
              <w:textboxTightWrap w:val="none"/>
              <w:rPr>
                <w:rFonts w:cs="Arial"/>
                <w:color w:val="auto"/>
                <w:sz w:val="22"/>
                <w:szCs w:val="22"/>
              </w:rPr>
            </w:pPr>
          </w:p>
          <w:p w14:paraId="2C14F12F" w14:textId="3607A495" w:rsidR="00C40E89" w:rsidRPr="00D41CBE" w:rsidRDefault="00C40E89" w:rsidP="00C57B90">
            <w:pPr>
              <w:pStyle w:val="ListParagraph"/>
              <w:numPr>
                <w:ilvl w:val="0"/>
                <w:numId w:val="30"/>
              </w:numPr>
              <w:spacing w:after="0" w:line="240" w:lineRule="auto"/>
              <w:contextualSpacing/>
              <w:textboxTightWrap w:val="none"/>
              <w:rPr>
                <w:color w:val="auto"/>
              </w:rPr>
            </w:pPr>
            <w:r w:rsidRPr="00D41CBE">
              <w:rPr>
                <w:rFonts w:cs="Arial"/>
                <w:color w:val="auto"/>
              </w:rPr>
              <w:t>Practical factors affecting programme delivery, some of which may be known at the start of the scheme but are unable to be mitigated, such as operational demand affecting access, whilst some may be unknown and occur during the project, such as sub-contractor liquidation.  On provider sites, all projects will have some co-dependencies: the more complex the project, the more challenging these can be to manage and can affect the programme timeline.   There is also potential for issues on other parts of the estate to take precedence unexpectedly if patient safety or statutory requirements need to be met.</w:t>
            </w:r>
          </w:p>
          <w:p w14:paraId="1A11ABE9" w14:textId="77777777" w:rsidR="00C40E89" w:rsidRPr="00D41CBE" w:rsidRDefault="00C40E89" w:rsidP="00C40E89">
            <w:pPr>
              <w:pStyle w:val="ListParagraph"/>
              <w:spacing w:after="0" w:line="240" w:lineRule="auto"/>
              <w:ind w:left="720" w:firstLine="0"/>
              <w:contextualSpacing/>
              <w:textboxTightWrap w:val="none"/>
              <w:rPr>
                <w:color w:val="auto"/>
              </w:rPr>
            </w:pPr>
          </w:p>
          <w:p w14:paraId="61D3B0A4" w14:textId="11399E96" w:rsidR="00364E2C" w:rsidRPr="00D41CBE" w:rsidRDefault="00364E2C" w:rsidP="00364E2C">
            <w:pPr>
              <w:pStyle w:val="ListParagraph"/>
              <w:numPr>
                <w:ilvl w:val="0"/>
                <w:numId w:val="30"/>
              </w:numPr>
              <w:spacing w:after="0" w:line="240" w:lineRule="auto"/>
              <w:contextualSpacing/>
              <w:textboxTightWrap w:val="none"/>
              <w:rPr>
                <w:rFonts w:cs="Arial"/>
                <w:color w:val="auto"/>
                <w:sz w:val="22"/>
                <w:szCs w:val="22"/>
              </w:rPr>
            </w:pPr>
            <w:r w:rsidRPr="00D41CBE">
              <w:rPr>
                <w:color w:val="auto"/>
              </w:rPr>
              <w:t xml:space="preserve">There are </w:t>
            </w:r>
            <w:r w:rsidR="005358C3" w:rsidRPr="00D41CBE">
              <w:rPr>
                <w:color w:val="auto"/>
              </w:rPr>
              <w:t>disposals</w:t>
            </w:r>
            <w:r w:rsidRPr="00D41CBE">
              <w:rPr>
                <w:color w:val="auto"/>
              </w:rPr>
              <w:t xml:space="preserve"> totalling £</w:t>
            </w:r>
            <w:r w:rsidR="005358C3" w:rsidRPr="00D41CBE">
              <w:rPr>
                <w:color w:val="auto"/>
              </w:rPr>
              <w:t>2.9</w:t>
            </w:r>
            <w:r w:rsidRPr="00D41CBE">
              <w:rPr>
                <w:color w:val="auto"/>
              </w:rPr>
              <w:t>m planned for 202</w:t>
            </w:r>
            <w:r w:rsidR="005358C3" w:rsidRPr="00D41CBE">
              <w:rPr>
                <w:color w:val="auto"/>
              </w:rPr>
              <w:t>6</w:t>
            </w:r>
            <w:r w:rsidRPr="00D41CBE">
              <w:rPr>
                <w:color w:val="auto"/>
              </w:rPr>
              <w:t>/2</w:t>
            </w:r>
            <w:r w:rsidR="005358C3" w:rsidRPr="00D41CBE">
              <w:rPr>
                <w:color w:val="auto"/>
              </w:rPr>
              <w:t>7</w:t>
            </w:r>
            <w:r w:rsidRPr="00D41CBE">
              <w:rPr>
                <w:color w:val="auto"/>
              </w:rPr>
              <w:t>, if these do not progress within the financial year, leading to a lower than planned funding level for 202</w:t>
            </w:r>
            <w:r w:rsidR="005358C3" w:rsidRPr="00D41CBE">
              <w:rPr>
                <w:color w:val="auto"/>
              </w:rPr>
              <w:t>6</w:t>
            </w:r>
            <w:r w:rsidRPr="00D41CBE">
              <w:rPr>
                <w:color w:val="auto"/>
              </w:rPr>
              <w:t>/2</w:t>
            </w:r>
            <w:r w:rsidR="005358C3" w:rsidRPr="00D41CBE">
              <w:rPr>
                <w:color w:val="auto"/>
              </w:rPr>
              <w:t>7</w:t>
            </w:r>
            <w:r w:rsidRPr="00D41CBE">
              <w:rPr>
                <w:color w:val="auto"/>
              </w:rPr>
              <w:t xml:space="preserve">.  In this situation, smaller schemes would be slowed to ensure that the system capital budget remained at breakeven.  A key risk in this area relates to gaining planning approval linked to specific disposals </w:t>
            </w:r>
          </w:p>
          <w:p w14:paraId="112C7B04" w14:textId="77777777" w:rsidR="00364E2C" w:rsidRPr="00D41CBE" w:rsidRDefault="00364E2C" w:rsidP="00364E2C">
            <w:pPr>
              <w:pStyle w:val="ListParagraph"/>
              <w:spacing w:after="0" w:line="240" w:lineRule="auto"/>
              <w:ind w:left="720" w:firstLine="0"/>
              <w:contextualSpacing/>
              <w:textboxTightWrap w:val="none"/>
              <w:rPr>
                <w:rFonts w:cs="Arial"/>
                <w:color w:val="auto"/>
                <w:sz w:val="22"/>
                <w:szCs w:val="22"/>
              </w:rPr>
            </w:pPr>
          </w:p>
          <w:p w14:paraId="72781075" w14:textId="77777777" w:rsidR="00364E2C" w:rsidRPr="00D41CBE" w:rsidRDefault="00364E2C" w:rsidP="00364E2C">
            <w:pPr>
              <w:pStyle w:val="ListParagraph"/>
              <w:numPr>
                <w:ilvl w:val="0"/>
                <w:numId w:val="30"/>
              </w:numPr>
              <w:spacing w:after="0" w:line="240" w:lineRule="auto"/>
              <w:contextualSpacing/>
              <w:textboxTightWrap w:val="none"/>
              <w:rPr>
                <w:rFonts w:cs="Arial"/>
                <w:color w:val="auto"/>
                <w:sz w:val="22"/>
                <w:szCs w:val="22"/>
              </w:rPr>
            </w:pPr>
            <w:r w:rsidRPr="00D41CBE">
              <w:rPr>
                <w:color w:val="auto"/>
              </w:rPr>
              <w:t xml:space="preserve">Rising inflation is a significant risk that could materially change estimated costs in the plan and that the system will no longer be able to afford </w:t>
            </w:r>
            <w:proofErr w:type="gramStart"/>
            <w:r w:rsidRPr="00D41CBE">
              <w:rPr>
                <w:color w:val="auto"/>
              </w:rPr>
              <w:t>all of</w:t>
            </w:r>
            <w:proofErr w:type="gramEnd"/>
            <w:r w:rsidRPr="00D41CBE">
              <w:rPr>
                <w:color w:val="auto"/>
              </w:rPr>
              <w:t xml:space="preserve"> the schemes planned. Contingencies are included in plans to offset </w:t>
            </w:r>
            <w:proofErr w:type="gramStart"/>
            <w:r w:rsidRPr="00D41CBE">
              <w:rPr>
                <w:color w:val="auto"/>
              </w:rPr>
              <w:t>this</w:t>
            </w:r>
            <w:proofErr w:type="gramEnd"/>
            <w:r w:rsidRPr="00D41CBE">
              <w:rPr>
                <w:color w:val="auto"/>
              </w:rPr>
              <w:t xml:space="preserve"> but inflation may exceed these in the current financial climate. If this takes </w:t>
            </w:r>
            <w:proofErr w:type="gramStart"/>
            <w:r w:rsidRPr="00D41CBE">
              <w:rPr>
                <w:color w:val="auto"/>
              </w:rPr>
              <w:t>place</w:t>
            </w:r>
            <w:proofErr w:type="gramEnd"/>
            <w:r w:rsidRPr="00D41CBE">
              <w:rPr>
                <w:color w:val="auto"/>
              </w:rPr>
              <w:t xml:space="preserve"> then schemes will be re prioritised</w:t>
            </w:r>
          </w:p>
          <w:p w14:paraId="031C47B4" w14:textId="77777777" w:rsidR="00364E2C" w:rsidRPr="00D41CBE" w:rsidRDefault="00364E2C" w:rsidP="00364E2C">
            <w:pPr>
              <w:pStyle w:val="ListParagraph"/>
              <w:spacing w:after="0" w:line="240" w:lineRule="auto"/>
              <w:ind w:left="720" w:firstLine="0"/>
              <w:contextualSpacing/>
              <w:textboxTightWrap w:val="none"/>
              <w:rPr>
                <w:color w:val="auto"/>
              </w:rPr>
            </w:pPr>
          </w:p>
          <w:p w14:paraId="6EF766C8" w14:textId="77777777" w:rsidR="00364E2C" w:rsidRPr="00D41CBE" w:rsidRDefault="00364E2C" w:rsidP="00364E2C">
            <w:pPr>
              <w:pStyle w:val="ListParagraph"/>
              <w:numPr>
                <w:ilvl w:val="0"/>
                <w:numId w:val="30"/>
              </w:numPr>
              <w:spacing w:after="0" w:line="240" w:lineRule="auto"/>
              <w:contextualSpacing/>
              <w:textboxTightWrap w:val="none"/>
              <w:rPr>
                <w:color w:val="auto"/>
              </w:rPr>
            </w:pPr>
            <w:r w:rsidRPr="00D41CBE">
              <w:rPr>
                <w:color w:val="auto"/>
              </w:rPr>
              <w:t>Lease liabilities can vary during the year leading to additional costs.  Systems are in place to manage variation as far as possible, however, if this occurs then the programme will be reassessed to ensure there is no overspend.</w:t>
            </w:r>
          </w:p>
          <w:p w14:paraId="02575A42" w14:textId="77777777" w:rsidR="00364E2C" w:rsidRPr="00D41CBE" w:rsidRDefault="00364E2C" w:rsidP="00364E2C">
            <w:pPr>
              <w:pStyle w:val="ListParagraph"/>
              <w:spacing w:after="0" w:line="240" w:lineRule="auto"/>
              <w:ind w:left="720" w:firstLine="0"/>
              <w:contextualSpacing/>
              <w:textboxTightWrap w:val="none"/>
              <w:rPr>
                <w:color w:val="auto"/>
              </w:rPr>
            </w:pPr>
          </w:p>
          <w:p w14:paraId="378C5830" w14:textId="6F82940D" w:rsidR="00364E2C" w:rsidRPr="00D41CBE" w:rsidRDefault="00364E2C" w:rsidP="00364E2C">
            <w:pPr>
              <w:pStyle w:val="ListParagraph"/>
              <w:numPr>
                <w:ilvl w:val="0"/>
                <w:numId w:val="30"/>
              </w:numPr>
              <w:spacing w:after="0" w:line="240" w:lineRule="auto"/>
              <w:contextualSpacing/>
              <w:textboxTightWrap w:val="none"/>
              <w:rPr>
                <w:color w:val="auto"/>
              </w:rPr>
            </w:pPr>
            <w:bookmarkStart w:id="2" w:name="_Hlk202443146"/>
            <w:r w:rsidRPr="00D41CBE">
              <w:rPr>
                <w:color w:val="auto"/>
              </w:rPr>
              <w:t>Cash:</w:t>
            </w:r>
            <w:r w:rsidR="005D3902" w:rsidRPr="00D41CBE">
              <w:rPr>
                <w:color w:val="auto"/>
              </w:rPr>
              <w:t xml:space="preserve"> </w:t>
            </w:r>
            <w:r w:rsidRPr="00D41CBE">
              <w:rPr>
                <w:color w:val="auto"/>
              </w:rPr>
              <w:t>There is a risk that some organisations may not have sufficient cash to support capital investment in 202</w:t>
            </w:r>
            <w:r w:rsidR="005358C3" w:rsidRPr="00D41CBE">
              <w:rPr>
                <w:color w:val="auto"/>
              </w:rPr>
              <w:t>6</w:t>
            </w:r>
            <w:r w:rsidRPr="00D41CBE">
              <w:rPr>
                <w:color w:val="auto"/>
              </w:rPr>
              <w:t>/2</w:t>
            </w:r>
            <w:r w:rsidR="005358C3" w:rsidRPr="00D41CBE">
              <w:rPr>
                <w:color w:val="auto"/>
              </w:rPr>
              <w:t>7</w:t>
            </w:r>
            <w:r w:rsidRPr="00D41CBE">
              <w:rPr>
                <w:color w:val="auto"/>
              </w:rPr>
              <w:t xml:space="preserve"> due to challenging revenue plan positions. </w:t>
            </w:r>
            <w:r w:rsidR="000B2E1F" w:rsidRPr="00D41CBE">
              <w:rPr>
                <w:color w:val="auto"/>
              </w:rPr>
              <w:t>In addition, some of the capital allocations are not cash backed which can lead to deterioration of Trust cash positions</w:t>
            </w:r>
          </w:p>
          <w:p w14:paraId="2F05FB65" w14:textId="77777777" w:rsidR="002B646B" w:rsidRPr="00D41CBE" w:rsidRDefault="002B646B" w:rsidP="002B646B">
            <w:pPr>
              <w:pStyle w:val="ListParagraph"/>
              <w:spacing w:after="0" w:line="240" w:lineRule="auto"/>
              <w:ind w:left="720" w:firstLine="0"/>
              <w:contextualSpacing/>
              <w:textboxTightWrap w:val="none"/>
              <w:rPr>
                <w:color w:val="auto"/>
              </w:rPr>
            </w:pPr>
          </w:p>
          <w:p w14:paraId="16394DA6" w14:textId="464F21FD" w:rsidR="002B646B" w:rsidRPr="00D41CBE" w:rsidRDefault="002B646B" w:rsidP="00364E2C">
            <w:pPr>
              <w:pStyle w:val="ListParagraph"/>
              <w:numPr>
                <w:ilvl w:val="0"/>
                <w:numId w:val="30"/>
              </w:numPr>
              <w:spacing w:after="0" w:line="240" w:lineRule="auto"/>
              <w:contextualSpacing/>
              <w:textboxTightWrap w:val="none"/>
              <w:rPr>
                <w:color w:val="auto"/>
              </w:rPr>
            </w:pPr>
            <w:bookmarkStart w:id="3" w:name="_Hlk202444564"/>
            <w:r w:rsidRPr="00D41CBE">
              <w:rPr>
                <w:color w:val="auto"/>
              </w:rPr>
              <w:t xml:space="preserve">Digital:  With the changing nature of the digital innovation some investments which may have been funded via capital are now categorised as revenue, this can mean </w:t>
            </w:r>
            <w:r w:rsidR="003E7C43" w:rsidRPr="00D41CBE">
              <w:rPr>
                <w:color w:val="auto"/>
              </w:rPr>
              <w:t xml:space="preserve">additional unplanned revenue </w:t>
            </w:r>
            <w:r w:rsidRPr="00D41CBE">
              <w:rPr>
                <w:color w:val="auto"/>
              </w:rPr>
              <w:t xml:space="preserve">pressures or </w:t>
            </w:r>
            <w:r w:rsidR="003E7C43" w:rsidRPr="00D41CBE">
              <w:rPr>
                <w:color w:val="auto"/>
              </w:rPr>
              <w:t>changes to capital plans.</w:t>
            </w:r>
          </w:p>
          <w:bookmarkEnd w:id="2"/>
          <w:bookmarkEnd w:id="3"/>
          <w:p w14:paraId="1E1FECE0" w14:textId="77777777" w:rsidR="00364E2C" w:rsidRPr="00D41CBE" w:rsidRDefault="00364E2C" w:rsidP="00364E2C">
            <w:pPr>
              <w:pStyle w:val="ListParagraph"/>
              <w:spacing w:after="0" w:line="240" w:lineRule="auto"/>
              <w:ind w:left="720" w:firstLine="0"/>
              <w:contextualSpacing/>
              <w:textboxTightWrap w:val="none"/>
              <w:rPr>
                <w:color w:val="auto"/>
              </w:rPr>
            </w:pPr>
          </w:p>
          <w:p w14:paraId="49CF1322" w14:textId="77777777" w:rsidR="00364E2C" w:rsidRPr="00D41CBE" w:rsidRDefault="00364E2C" w:rsidP="00364E2C">
            <w:pPr>
              <w:pStyle w:val="ListParagraph"/>
              <w:numPr>
                <w:ilvl w:val="0"/>
                <w:numId w:val="30"/>
              </w:numPr>
              <w:spacing w:after="0" w:line="240" w:lineRule="auto"/>
              <w:contextualSpacing/>
              <w:textboxTightWrap w:val="none"/>
              <w:rPr>
                <w:color w:val="auto"/>
              </w:rPr>
            </w:pPr>
            <w:r w:rsidRPr="00D41CBE">
              <w:rPr>
                <w:color w:val="auto"/>
              </w:rPr>
              <w:t>Specific Risks There are further specific risks from Trusts which are highlighted on their published risk registers.</w:t>
            </w:r>
          </w:p>
          <w:p w14:paraId="281DDD50" w14:textId="77777777" w:rsidR="00364E2C" w:rsidRPr="00D41CBE" w:rsidRDefault="00364E2C" w:rsidP="00364E2C">
            <w:pPr>
              <w:pStyle w:val="ListParagraph"/>
              <w:spacing w:after="0" w:line="240" w:lineRule="auto"/>
              <w:ind w:left="720" w:firstLine="0"/>
              <w:contextualSpacing/>
              <w:textboxTightWrap w:val="none"/>
              <w:rPr>
                <w:color w:val="auto"/>
              </w:rPr>
            </w:pPr>
          </w:p>
          <w:p w14:paraId="36B988BA" w14:textId="6324A84B" w:rsidR="00333DD0" w:rsidRPr="00D41CBE" w:rsidRDefault="00364E2C" w:rsidP="00B83DE4">
            <w:pPr>
              <w:pStyle w:val="ListParagraph"/>
              <w:numPr>
                <w:ilvl w:val="0"/>
                <w:numId w:val="29"/>
              </w:numPr>
              <w:rPr>
                <w:rFonts w:cs="Arial"/>
                <w:color w:val="auto"/>
              </w:rPr>
            </w:pPr>
            <w:r w:rsidRPr="00D41CBE">
              <w:rPr>
                <w:color w:val="auto"/>
              </w:rPr>
              <w:t xml:space="preserve">Gloucestershire will continue to monitor these risks throughout the </w:t>
            </w:r>
            <w:proofErr w:type="gramStart"/>
            <w:r w:rsidRPr="00D41CBE">
              <w:rPr>
                <w:color w:val="auto"/>
              </w:rPr>
              <w:t>year</w:t>
            </w:r>
            <w:proofErr w:type="gramEnd"/>
            <w:r w:rsidRPr="00D41CBE">
              <w:rPr>
                <w:color w:val="auto"/>
              </w:rPr>
              <w:t xml:space="preserve"> and regular reports are taken to organisational Boards</w:t>
            </w:r>
            <w:r w:rsidR="005358C3" w:rsidRPr="00D41CBE">
              <w:rPr>
                <w:color w:val="auto"/>
              </w:rPr>
              <w:t>.</w:t>
            </w:r>
          </w:p>
          <w:p w14:paraId="55F5D7A5" w14:textId="325AC62B" w:rsidR="00F33FCC" w:rsidRPr="00D41CBE" w:rsidRDefault="00F33FCC" w:rsidP="004D779A">
            <w:pPr>
              <w:pStyle w:val="ListParagraph"/>
              <w:spacing w:after="0" w:line="240" w:lineRule="auto"/>
              <w:ind w:left="720" w:firstLine="0"/>
              <w:contextualSpacing/>
              <w:textboxTightWrap w:val="none"/>
              <w:rPr>
                <w:rFonts w:cs="Arial"/>
                <w:i/>
                <w:iCs/>
                <w:color w:val="auto"/>
                <w:sz w:val="22"/>
                <w:szCs w:val="22"/>
              </w:rPr>
            </w:pPr>
          </w:p>
        </w:tc>
      </w:tr>
    </w:tbl>
    <w:p w14:paraId="523FC9B4" w14:textId="77777777" w:rsidR="008E38E6" w:rsidRPr="00D41CBE" w:rsidRDefault="008E38E6" w:rsidP="0055353C">
      <w:pPr>
        <w:rPr>
          <w:rFonts w:cs="Arial"/>
          <w:b/>
          <w:bCs/>
          <w:color w:val="auto"/>
          <w:sz w:val="14"/>
          <w:szCs w:val="14"/>
        </w:rPr>
      </w:pPr>
    </w:p>
    <w:tbl>
      <w:tblPr>
        <w:tblStyle w:val="TableGrid"/>
        <w:tblpPr w:leftFromText="180" w:rightFromText="180" w:vertAnchor="text" w:horzAnchor="margin" w:tblpYSpec="bottom"/>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4"/>
      </w:tblGrid>
      <w:tr w:rsidR="006562C8" w:rsidRPr="00D41CBE" w14:paraId="54E82A20" w14:textId="77777777" w:rsidTr="00904AE8">
        <w:trPr>
          <w:trHeight w:val="605"/>
        </w:trPr>
        <w:tc>
          <w:tcPr>
            <w:tcW w:w="9854" w:type="dxa"/>
            <w:shd w:val="clear" w:color="auto" w:fill="0070C0"/>
            <w:vAlign w:val="center"/>
          </w:tcPr>
          <w:p w14:paraId="5FFBAB51" w14:textId="77777777" w:rsidR="006562C8" w:rsidRPr="00D41CBE" w:rsidRDefault="006562C8" w:rsidP="006562C8">
            <w:pPr>
              <w:rPr>
                <w:rFonts w:cs="Arial"/>
                <w:b/>
                <w:bCs/>
                <w:color w:val="auto"/>
              </w:rPr>
            </w:pPr>
            <w:r w:rsidRPr="00D41CBE">
              <w:rPr>
                <w:rFonts w:cs="Arial"/>
                <w:b/>
                <w:bCs/>
                <w:color w:val="auto"/>
              </w:rPr>
              <w:t>Capital prioritisation</w:t>
            </w:r>
          </w:p>
        </w:tc>
      </w:tr>
    </w:tbl>
    <w:p w14:paraId="0E488EC8" w14:textId="77777777" w:rsidR="00CA1AA6" w:rsidRPr="00D41CBE" w:rsidRDefault="00CA1AA6" w:rsidP="0055353C">
      <w:pPr>
        <w:rPr>
          <w:rFonts w:cs="Arial"/>
          <w:b/>
          <w:bCs/>
          <w:color w:val="auto"/>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DE2C6E" w:rsidRPr="00D41CBE" w14:paraId="08F36383" w14:textId="77777777" w:rsidTr="002E7915">
        <w:trPr>
          <w:trHeight w:val="605"/>
        </w:trPr>
        <w:tc>
          <w:tcPr>
            <w:tcW w:w="9355" w:type="dxa"/>
            <w:shd w:val="clear" w:color="auto" w:fill="0070C0"/>
            <w:vAlign w:val="center"/>
          </w:tcPr>
          <w:p w14:paraId="109A426F" w14:textId="48FCDE94" w:rsidR="0055353C" w:rsidRPr="00D41CBE" w:rsidRDefault="0055353C" w:rsidP="00B53BA6">
            <w:pPr>
              <w:rPr>
                <w:rFonts w:cs="Arial"/>
                <w:i/>
                <w:iCs/>
                <w:color w:val="auto"/>
                <w:sz w:val="18"/>
                <w:szCs w:val="18"/>
              </w:rPr>
            </w:pPr>
            <w:r w:rsidRPr="00D41CBE">
              <w:rPr>
                <w:rFonts w:cs="Arial"/>
                <w:b/>
                <w:bCs/>
                <w:color w:val="auto"/>
              </w:rPr>
              <w:t>Net</w:t>
            </w:r>
            <w:r w:rsidR="001E52B2" w:rsidRPr="00D41CBE">
              <w:rPr>
                <w:rFonts w:cs="Arial"/>
                <w:b/>
                <w:bCs/>
                <w:color w:val="auto"/>
              </w:rPr>
              <w:t xml:space="preserve"> </w:t>
            </w:r>
            <w:r w:rsidRPr="00D41CBE">
              <w:rPr>
                <w:rFonts w:cs="Arial"/>
                <w:b/>
                <w:bCs/>
                <w:color w:val="auto"/>
              </w:rPr>
              <w:t xml:space="preserve">zero </w:t>
            </w:r>
            <w:r w:rsidR="001E52B2" w:rsidRPr="00D41CBE">
              <w:rPr>
                <w:rFonts w:cs="Arial"/>
                <w:b/>
                <w:bCs/>
                <w:color w:val="auto"/>
              </w:rPr>
              <w:t>c</w:t>
            </w:r>
            <w:r w:rsidRPr="00D41CBE">
              <w:rPr>
                <w:rFonts w:cs="Arial"/>
                <w:b/>
                <w:bCs/>
                <w:color w:val="auto"/>
              </w:rPr>
              <w:t xml:space="preserve">arbon </w:t>
            </w:r>
            <w:r w:rsidR="001E52B2" w:rsidRPr="00D41CBE">
              <w:rPr>
                <w:rFonts w:cs="Arial"/>
                <w:b/>
                <w:bCs/>
                <w:color w:val="auto"/>
              </w:rPr>
              <w:t>s</w:t>
            </w:r>
            <w:r w:rsidRPr="00D41CBE">
              <w:rPr>
                <w:rFonts w:cs="Arial"/>
                <w:b/>
                <w:bCs/>
                <w:color w:val="auto"/>
              </w:rPr>
              <w:t>trategy</w:t>
            </w:r>
          </w:p>
        </w:tc>
      </w:tr>
      <w:tr w:rsidR="00DE2C6E" w:rsidRPr="00D41CBE" w14:paraId="009C1E30" w14:textId="77777777" w:rsidTr="002E7915">
        <w:trPr>
          <w:trHeight w:val="699"/>
        </w:trPr>
        <w:tc>
          <w:tcPr>
            <w:tcW w:w="9355" w:type="dxa"/>
          </w:tcPr>
          <w:p w14:paraId="60753D36" w14:textId="6379484D" w:rsidR="00364E2C" w:rsidRPr="00D41CBE" w:rsidRDefault="00364E2C" w:rsidP="00364E2C">
            <w:pPr>
              <w:rPr>
                <w:rFonts w:cs="Arial"/>
                <w:color w:val="auto"/>
                <w:sz w:val="22"/>
                <w:szCs w:val="22"/>
              </w:rPr>
            </w:pPr>
            <w:r w:rsidRPr="00D41CBE">
              <w:rPr>
                <w:rFonts w:cs="Arial"/>
                <w:color w:val="auto"/>
                <w:sz w:val="22"/>
                <w:szCs w:val="22"/>
              </w:rPr>
              <w:t xml:space="preserve">The ICS developed a </w:t>
            </w:r>
            <w:r w:rsidR="00725096" w:rsidRPr="00D41CBE">
              <w:rPr>
                <w:rFonts w:cs="Arial"/>
                <w:color w:val="auto"/>
                <w:sz w:val="22"/>
                <w:szCs w:val="22"/>
              </w:rPr>
              <w:t xml:space="preserve">refreshed </w:t>
            </w:r>
            <w:r w:rsidRPr="00D41CBE">
              <w:rPr>
                <w:rFonts w:cs="Arial"/>
                <w:color w:val="auto"/>
                <w:sz w:val="22"/>
                <w:szCs w:val="22"/>
              </w:rPr>
              <w:t>green plan</w:t>
            </w:r>
            <w:r w:rsidR="00725096" w:rsidRPr="00D41CBE">
              <w:rPr>
                <w:rFonts w:cs="Arial"/>
                <w:color w:val="auto"/>
                <w:sz w:val="22"/>
                <w:szCs w:val="22"/>
              </w:rPr>
              <w:t xml:space="preserve"> which was approved by the ICB Board in March </w:t>
            </w:r>
            <w:proofErr w:type="gramStart"/>
            <w:r w:rsidR="00725096" w:rsidRPr="00D41CBE">
              <w:rPr>
                <w:rFonts w:cs="Arial"/>
                <w:color w:val="auto"/>
                <w:sz w:val="22"/>
                <w:szCs w:val="22"/>
              </w:rPr>
              <w:t>2026</w:t>
            </w:r>
            <w:r w:rsidRPr="00D41CBE">
              <w:rPr>
                <w:rFonts w:cs="Arial"/>
                <w:color w:val="auto"/>
                <w:sz w:val="22"/>
                <w:szCs w:val="22"/>
              </w:rPr>
              <w:t xml:space="preserve">  and</w:t>
            </w:r>
            <w:proofErr w:type="gramEnd"/>
            <w:r w:rsidRPr="00D41CBE">
              <w:rPr>
                <w:rFonts w:cs="Arial"/>
                <w:color w:val="auto"/>
                <w:sz w:val="22"/>
                <w:szCs w:val="22"/>
              </w:rPr>
              <w:t xml:space="preserve"> each provider organisation has a more specific green plan to support the overall move to net zero for the NHS.  </w:t>
            </w:r>
            <w:r w:rsidRPr="00D41CBE">
              <w:rPr>
                <w:color w:val="auto"/>
              </w:rPr>
              <w:t>The NHS net zero delivery plan for Estates sets out the approach for decarbonising our hospital buildings.</w:t>
            </w:r>
          </w:p>
          <w:p w14:paraId="0CBA1E0E" w14:textId="498D846D" w:rsidR="00364E2C" w:rsidRPr="00D41CBE" w:rsidRDefault="00364E2C" w:rsidP="00364E2C">
            <w:pPr>
              <w:pStyle w:val="xmsonormal"/>
              <w:rPr>
                <w:rFonts w:ascii="Arial" w:hAnsi="Arial" w:cs="Arial"/>
                <w:i/>
                <w:iCs/>
                <w:sz w:val="24"/>
                <w:szCs w:val="24"/>
                <w:u w:val="single"/>
              </w:rPr>
            </w:pPr>
            <w:r w:rsidRPr="00D41CBE">
              <w:rPr>
                <w:rFonts w:ascii="Arial" w:hAnsi="Arial" w:cs="Arial"/>
                <w:sz w:val="24"/>
                <w:szCs w:val="24"/>
                <w:u w:val="single"/>
              </w:rPr>
              <w:t xml:space="preserve">GHC </w:t>
            </w:r>
          </w:p>
          <w:p w14:paraId="5204F64A" w14:textId="77777777" w:rsidR="00702B75" w:rsidRPr="00D41CBE" w:rsidRDefault="00702B75" w:rsidP="00702B75">
            <w:pPr>
              <w:pStyle w:val="xmsonormal"/>
              <w:rPr>
                <w:rFonts w:ascii="Arial" w:eastAsia="Times New Roman" w:hAnsi="Arial" w:cs="Times New Roman"/>
                <w:sz w:val="24"/>
                <w:szCs w:val="24"/>
                <w:u w:val="single"/>
              </w:rPr>
            </w:pPr>
          </w:p>
          <w:p w14:paraId="23694908" w14:textId="77777777" w:rsidR="00702B75" w:rsidRPr="00D41CBE" w:rsidRDefault="00702B75" w:rsidP="00702B75">
            <w:pPr>
              <w:pStyle w:val="xmsonormal"/>
              <w:rPr>
                <w:rFonts w:ascii="Arial" w:eastAsia="Times New Roman" w:hAnsi="Arial" w:cs="Times New Roman"/>
                <w:sz w:val="24"/>
                <w:szCs w:val="24"/>
              </w:rPr>
            </w:pPr>
            <w:r w:rsidRPr="00D41CBE">
              <w:rPr>
                <w:rFonts w:ascii="Arial" w:eastAsia="Times New Roman" w:hAnsi="Arial" w:cs="Times New Roman"/>
                <w:sz w:val="24"/>
                <w:szCs w:val="24"/>
              </w:rPr>
              <w:t xml:space="preserve">Existing hospital buildings will be decarbonised through the implementation of </w:t>
            </w:r>
            <w:proofErr w:type="gramStart"/>
            <w:r w:rsidRPr="00D41CBE">
              <w:rPr>
                <w:rFonts w:ascii="Arial" w:eastAsia="Times New Roman" w:hAnsi="Arial" w:cs="Times New Roman"/>
                <w:sz w:val="24"/>
                <w:szCs w:val="24"/>
              </w:rPr>
              <w:t>retro-fit</w:t>
            </w:r>
            <w:proofErr w:type="gramEnd"/>
            <w:r w:rsidRPr="00D41CBE">
              <w:rPr>
                <w:rFonts w:ascii="Arial" w:eastAsia="Times New Roman" w:hAnsi="Arial" w:cs="Times New Roman"/>
                <w:sz w:val="24"/>
                <w:szCs w:val="24"/>
              </w:rPr>
              <w:t xml:space="preserve"> projects to reduce energy demand and carbon emissions. Retro-fit projects within Gloucestershire Health &amp; Care NHSFT have included LED lighting upgrades which are 69% more energy efficient and installing roof mounted solar-</w:t>
            </w:r>
            <w:proofErr w:type="spellStart"/>
            <w:r w:rsidRPr="00D41CBE">
              <w:rPr>
                <w:rFonts w:ascii="Arial" w:eastAsia="Times New Roman" w:hAnsi="Arial" w:cs="Times New Roman"/>
                <w:sz w:val="24"/>
                <w:szCs w:val="24"/>
              </w:rPr>
              <w:t>pv</w:t>
            </w:r>
            <w:proofErr w:type="spellEnd"/>
            <w:r w:rsidRPr="00D41CBE">
              <w:rPr>
                <w:rFonts w:ascii="Arial" w:eastAsia="Times New Roman" w:hAnsi="Arial" w:cs="Times New Roman"/>
                <w:sz w:val="24"/>
                <w:szCs w:val="24"/>
              </w:rPr>
              <w:t xml:space="preserve"> to provide self-generation of power to the hospital campus. We have now also progressed with making our gas boilers redundant, installing new Air-Source heat pumps at Charlton Lane saving c86.6 tonnes CO2 per annum (representing </w:t>
            </w:r>
            <w:proofErr w:type="gramStart"/>
            <w:r w:rsidRPr="00D41CBE">
              <w:rPr>
                <w:rFonts w:ascii="Arial" w:eastAsia="Times New Roman" w:hAnsi="Arial" w:cs="Times New Roman"/>
                <w:sz w:val="24"/>
                <w:szCs w:val="24"/>
              </w:rPr>
              <w:t>a</w:t>
            </w:r>
            <w:proofErr w:type="gramEnd"/>
            <w:r w:rsidRPr="00D41CBE">
              <w:rPr>
                <w:rFonts w:ascii="Arial" w:eastAsia="Times New Roman" w:hAnsi="Arial" w:cs="Times New Roman"/>
                <w:sz w:val="24"/>
                <w:szCs w:val="24"/>
              </w:rPr>
              <w:t xml:space="preserve"> 81.5% improvement compared to the gas emissions).</w:t>
            </w:r>
          </w:p>
          <w:p w14:paraId="19236AB6" w14:textId="77777777" w:rsidR="00702B75" w:rsidRPr="00D41CBE" w:rsidRDefault="00702B75" w:rsidP="00702B75">
            <w:pPr>
              <w:pStyle w:val="xmsonormal"/>
              <w:rPr>
                <w:rFonts w:ascii="Arial" w:eastAsia="Times New Roman" w:hAnsi="Arial" w:cs="Times New Roman"/>
                <w:sz w:val="24"/>
                <w:szCs w:val="24"/>
              </w:rPr>
            </w:pPr>
          </w:p>
          <w:p w14:paraId="7EC1816F" w14:textId="7710F8FF" w:rsidR="00702B75" w:rsidRPr="00D41CBE" w:rsidRDefault="00702B75" w:rsidP="00702B75">
            <w:pPr>
              <w:pStyle w:val="xmsonormal"/>
              <w:rPr>
                <w:rFonts w:ascii="Arial" w:eastAsia="Times New Roman" w:hAnsi="Arial" w:cs="Times New Roman"/>
                <w:sz w:val="24"/>
                <w:szCs w:val="24"/>
              </w:rPr>
            </w:pPr>
            <w:r w:rsidRPr="00D41CBE">
              <w:rPr>
                <w:rFonts w:ascii="Arial" w:eastAsia="Times New Roman" w:hAnsi="Arial" w:cs="Times New Roman"/>
                <w:sz w:val="24"/>
                <w:szCs w:val="24"/>
              </w:rPr>
              <w:t>Powered by renewable energy from the grid, we are now in the process of installing Air-Source heat pumps at Wotton Lawn Hospital and commissioning Heat Decarbonisation Plans for our other inpatient sites</w:t>
            </w:r>
          </w:p>
          <w:p w14:paraId="608F7DCD" w14:textId="77777777" w:rsidR="00702B75" w:rsidRPr="00D41CBE" w:rsidRDefault="00702B75" w:rsidP="00702B75">
            <w:pPr>
              <w:pStyle w:val="xmsonormal"/>
              <w:rPr>
                <w:rFonts w:ascii="Arial" w:hAnsi="Arial" w:cs="Arial"/>
                <w:sz w:val="24"/>
                <w:szCs w:val="24"/>
              </w:rPr>
            </w:pPr>
            <w:r w:rsidRPr="00D41CBE">
              <w:rPr>
                <w:rFonts w:ascii="Arial" w:hAnsi="Arial" w:cs="Arial"/>
                <w:sz w:val="24"/>
                <w:szCs w:val="24"/>
              </w:rPr>
              <w:t> </w:t>
            </w:r>
          </w:p>
          <w:p w14:paraId="7BDA12B0" w14:textId="77777777" w:rsidR="00702B75" w:rsidRPr="00D41CBE" w:rsidRDefault="00702B75" w:rsidP="00702B75">
            <w:pPr>
              <w:pStyle w:val="xmsonormal"/>
              <w:rPr>
                <w:rFonts w:ascii="Arial" w:hAnsi="Arial" w:cs="Arial"/>
                <w:sz w:val="24"/>
                <w:szCs w:val="24"/>
              </w:rPr>
            </w:pPr>
            <w:r w:rsidRPr="00D41CBE">
              <w:rPr>
                <w:rFonts w:ascii="Arial" w:hAnsi="Arial" w:cs="Arial"/>
                <w:sz w:val="24"/>
                <w:szCs w:val="24"/>
              </w:rPr>
              <w:t>The installation of LED lighting has continued throughout the Trust to improve energy efficiency and the condition of lighting systems. We are on track to achieve our Green Plan requirement of 100% of buildings upgraded to LED by 2032.</w:t>
            </w:r>
          </w:p>
          <w:p w14:paraId="780BD562" w14:textId="77777777" w:rsidR="00702B75" w:rsidRPr="00D41CBE" w:rsidRDefault="00702B75" w:rsidP="00702B75">
            <w:pPr>
              <w:pStyle w:val="xmsonormal"/>
              <w:rPr>
                <w:rFonts w:ascii="Arial" w:hAnsi="Arial" w:cs="Arial"/>
                <w:sz w:val="24"/>
                <w:szCs w:val="24"/>
              </w:rPr>
            </w:pPr>
          </w:p>
          <w:p w14:paraId="7905FCB8" w14:textId="77777777" w:rsidR="00702B75" w:rsidRPr="00D41CBE" w:rsidRDefault="00702B75" w:rsidP="00702B75">
            <w:pPr>
              <w:pStyle w:val="ListParagraph"/>
              <w:spacing w:after="0" w:line="0" w:lineRule="atLeast"/>
              <w:ind w:firstLine="0"/>
              <w:jc w:val="both"/>
              <w:rPr>
                <w:rFonts w:cs="Arial"/>
                <w:color w:val="auto"/>
              </w:rPr>
            </w:pPr>
            <w:r w:rsidRPr="00D41CBE">
              <w:rPr>
                <w:rFonts w:cs="Arial"/>
                <w:color w:val="auto"/>
              </w:rPr>
              <w:t xml:space="preserve">Grant funding was secured in 25/26 to support the installation of c1000 additional Solar panels (across Wotton Lawn, Weavers Croft, Tewkesbury Hospital, North Cots Hospital and Vale Hospital) as well as the expansion of EV dual point chargers across the GHC estate (to over 40). This has enabled further electrification of our fleet with approximately half of our vehicles now fully electric or hybrid. </w:t>
            </w:r>
          </w:p>
          <w:p w14:paraId="75BD233D" w14:textId="77777777" w:rsidR="00702B75" w:rsidRPr="00D41CBE" w:rsidRDefault="00702B75" w:rsidP="00702B75">
            <w:pPr>
              <w:pStyle w:val="ListParagraph"/>
              <w:spacing w:after="0" w:line="0" w:lineRule="atLeast"/>
              <w:ind w:firstLine="0"/>
              <w:jc w:val="both"/>
              <w:rPr>
                <w:rFonts w:ascii="Segoe UI" w:hAnsi="Segoe UI" w:cs="Segoe UI"/>
                <w:color w:val="auto"/>
              </w:rPr>
            </w:pPr>
          </w:p>
          <w:p w14:paraId="29EC743B" w14:textId="77777777" w:rsidR="00B45285" w:rsidRPr="00D41CBE" w:rsidRDefault="00B45285" w:rsidP="00B45285">
            <w:pPr>
              <w:pStyle w:val="ListParagraph"/>
              <w:spacing w:after="0" w:line="0" w:lineRule="atLeast"/>
              <w:ind w:firstLine="0"/>
              <w:jc w:val="both"/>
              <w:rPr>
                <w:rFonts w:ascii="Segoe UI" w:hAnsi="Segoe UI" w:cs="Segoe UI"/>
                <w:color w:val="auto"/>
              </w:rPr>
            </w:pPr>
          </w:p>
          <w:p w14:paraId="14C6EAD5" w14:textId="25F9EEE8" w:rsidR="00364E2C" w:rsidRPr="00D41CBE" w:rsidRDefault="00364E2C" w:rsidP="00364E2C">
            <w:pPr>
              <w:pStyle w:val="ListParagraph"/>
              <w:spacing w:after="0" w:line="0" w:lineRule="atLeast"/>
              <w:ind w:firstLine="0"/>
              <w:jc w:val="both"/>
              <w:rPr>
                <w:rFonts w:cs="Arial"/>
                <w:color w:val="auto"/>
                <w:u w:val="single"/>
              </w:rPr>
            </w:pPr>
            <w:r w:rsidRPr="00D41CBE">
              <w:rPr>
                <w:rFonts w:cs="Arial"/>
                <w:color w:val="auto"/>
                <w:u w:val="single"/>
              </w:rPr>
              <w:t xml:space="preserve">GHFT </w:t>
            </w:r>
          </w:p>
          <w:p w14:paraId="79EA20D1" w14:textId="77777777" w:rsidR="00565C95" w:rsidRPr="00D41CBE" w:rsidRDefault="00565C95" w:rsidP="00D27FFB">
            <w:pPr>
              <w:rPr>
                <w:rFonts w:cs="Arial"/>
                <w:color w:val="auto"/>
              </w:rPr>
            </w:pPr>
            <w:r w:rsidRPr="00D41CBE">
              <w:rPr>
                <w:rFonts w:cs="Arial"/>
                <w:color w:val="auto"/>
              </w:rPr>
              <w:t>The Trust has embedded sustainability as a golden thread running through the organisation and the business planning process.  Having completed the programme of works funded through Public Sector Decarbonisation Scheme funding we are assessing next steps with the progression of a feasibility assessment in Geo-thermal potential for the sites and pursuing an Electrical Vehicle Charging feasibility study and proposal.</w:t>
            </w:r>
          </w:p>
          <w:p w14:paraId="366931C1" w14:textId="2476BAD4" w:rsidR="00D27FFB" w:rsidRPr="00D41CBE" w:rsidRDefault="00D27FFB" w:rsidP="00D27FFB">
            <w:pPr>
              <w:rPr>
                <w:rFonts w:cs="Arial"/>
                <w:color w:val="auto"/>
                <w:sz w:val="22"/>
                <w:szCs w:val="22"/>
              </w:rPr>
            </w:pPr>
            <w:r w:rsidRPr="00D41CBE">
              <w:rPr>
                <w:rFonts w:cs="Arial"/>
                <w:color w:val="auto"/>
                <w:sz w:val="22"/>
                <w:szCs w:val="22"/>
                <w:u w:val="single"/>
              </w:rPr>
              <w:t>Abbreviations used within this document</w:t>
            </w:r>
            <w:r w:rsidRPr="00D41CBE">
              <w:rPr>
                <w:rFonts w:cs="Arial"/>
                <w:color w:val="auto"/>
                <w:sz w:val="22"/>
                <w:szCs w:val="22"/>
              </w:rPr>
              <w:t>:</w:t>
            </w:r>
          </w:p>
          <w:p w14:paraId="7CA67B0C" w14:textId="77777777" w:rsidR="00D27FFB" w:rsidRPr="00D41CBE" w:rsidRDefault="00D27FFB" w:rsidP="00D27FFB">
            <w:pPr>
              <w:rPr>
                <w:rFonts w:cs="Arial"/>
                <w:color w:val="auto"/>
                <w:sz w:val="22"/>
                <w:szCs w:val="22"/>
              </w:rPr>
            </w:pPr>
            <w:r w:rsidRPr="00D41CBE">
              <w:rPr>
                <w:rFonts w:cs="Arial"/>
                <w:color w:val="auto"/>
                <w:sz w:val="22"/>
                <w:szCs w:val="22"/>
              </w:rPr>
              <w:t>Gloucestershire Hospitals NHSFT: GHFT</w:t>
            </w:r>
          </w:p>
          <w:p w14:paraId="19CB7592" w14:textId="77777777" w:rsidR="00D27FFB" w:rsidRPr="00D41CBE" w:rsidRDefault="00D27FFB" w:rsidP="00D27FFB">
            <w:pPr>
              <w:rPr>
                <w:rFonts w:cs="Arial"/>
                <w:color w:val="auto"/>
                <w:sz w:val="22"/>
                <w:szCs w:val="22"/>
              </w:rPr>
            </w:pPr>
            <w:r w:rsidRPr="00D41CBE">
              <w:rPr>
                <w:rFonts w:cs="Arial"/>
                <w:color w:val="auto"/>
                <w:sz w:val="22"/>
                <w:szCs w:val="22"/>
              </w:rPr>
              <w:t>Gloucestershire Health &amp; Care NHSFT: GHC</w:t>
            </w:r>
          </w:p>
          <w:p w14:paraId="2D6A1F68" w14:textId="77777777" w:rsidR="00D27FFB" w:rsidRPr="00D41CBE" w:rsidRDefault="00D27FFB" w:rsidP="00D27FFB">
            <w:pPr>
              <w:rPr>
                <w:rFonts w:cs="Arial"/>
                <w:color w:val="auto"/>
                <w:sz w:val="22"/>
                <w:szCs w:val="22"/>
              </w:rPr>
            </w:pPr>
            <w:r w:rsidRPr="00D41CBE">
              <w:rPr>
                <w:rFonts w:cs="Arial"/>
                <w:color w:val="auto"/>
                <w:sz w:val="22"/>
                <w:szCs w:val="22"/>
              </w:rPr>
              <w:t>Gloucestershire Integrated Care Board: GICB</w:t>
            </w:r>
          </w:p>
          <w:p w14:paraId="5B43A98D" w14:textId="77777777" w:rsidR="00D27FFB" w:rsidRPr="00D41CBE" w:rsidRDefault="00D27FFB" w:rsidP="00D27FFB">
            <w:pPr>
              <w:rPr>
                <w:rFonts w:cs="Arial"/>
                <w:color w:val="auto"/>
                <w:sz w:val="22"/>
                <w:szCs w:val="22"/>
              </w:rPr>
            </w:pPr>
            <w:r w:rsidRPr="00D41CBE">
              <w:rPr>
                <w:rFonts w:cs="Arial"/>
                <w:color w:val="auto"/>
                <w:sz w:val="22"/>
                <w:szCs w:val="22"/>
              </w:rPr>
              <w:t>Gloucestershire County Council: GCC</w:t>
            </w:r>
          </w:p>
          <w:p w14:paraId="318780E9" w14:textId="77777777" w:rsidR="00CA1AA6" w:rsidRPr="00D41CBE" w:rsidRDefault="00CA1AA6" w:rsidP="00D27FFB">
            <w:pPr>
              <w:spacing w:after="0" w:line="240" w:lineRule="auto"/>
              <w:contextualSpacing/>
              <w:textboxTightWrap w:val="none"/>
              <w:rPr>
                <w:rFonts w:cs="Arial"/>
                <w:color w:val="auto"/>
                <w:sz w:val="22"/>
                <w:szCs w:val="22"/>
              </w:rPr>
            </w:pPr>
          </w:p>
          <w:p w14:paraId="3B71321C" w14:textId="77777777" w:rsidR="00D27FFB" w:rsidRPr="00D41CBE" w:rsidRDefault="00D27FFB" w:rsidP="00D27FFB">
            <w:pPr>
              <w:spacing w:after="0" w:line="240" w:lineRule="auto"/>
              <w:contextualSpacing/>
              <w:textboxTightWrap w:val="none"/>
              <w:rPr>
                <w:rFonts w:cs="Arial"/>
                <w:color w:val="auto"/>
                <w:sz w:val="22"/>
                <w:szCs w:val="22"/>
              </w:rPr>
            </w:pPr>
          </w:p>
        </w:tc>
      </w:tr>
    </w:tbl>
    <w:p w14:paraId="33FCAA77" w14:textId="77777777" w:rsidR="0055353C" w:rsidRPr="00DE2C6E" w:rsidRDefault="0055353C" w:rsidP="00842ACE">
      <w:pPr>
        <w:rPr>
          <w:color w:val="auto"/>
        </w:rPr>
      </w:pPr>
    </w:p>
    <w:sectPr w:rsidR="0055353C" w:rsidRPr="00DE2C6E" w:rsidSect="000055C4">
      <w:headerReference w:type="first" r:id="rId17"/>
      <w:footerReference w:type="first" r:id="rId18"/>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D781" w14:textId="77777777" w:rsidR="00992B69" w:rsidRDefault="00992B69" w:rsidP="000C24AF">
      <w:pPr>
        <w:spacing w:after="0"/>
      </w:pPr>
      <w:r>
        <w:separator/>
      </w:r>
    </w:p>
  </w:endnote>
  <w:endnote w:type="continuationSeparator" w:id="0">
    <w:p w14:paraId="14F30CA5" w14:textId="77777777" w:rsidR="00992B69" w:rsidRDefault="00992B69" w:rsidP="000C24AF">
      <w:pPr>
        <w:spacing w:after="0"/>
      </w:pPr>
      <w:r>
        <w:continuationSeparator/>
      </w:r>
    </w:p>
  </w:endnote>
  <w:endnote w:type="continuationNotice" w:id="1">
    <w:p w14:paraId="60C40F4D" w14:textId="77777777" w:rsidR="00992B69" w:rsidRDefault="00992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16E97CD0" w14:textId="77777777" w:rsidR="00603A2C" w:rsidRDefault="00603A2C" w:rsidP="00603A2C">
        <w:pPr>
          <w:pStyle w:val="Footer"/>
          <w:pBdr>
            <w:top w:val="single" w:sz="4" w:space="1" w:color="005EB8"/>
          </w:pBdr>
        </w:pPr>
      </w:p>
      <w:p w14:paraId="1665EE43"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7F82" w14:textId="77777777" w:rsidR="00992B69" w:rsidRDefault="00992B69" w:rsidP="000C24AF">
      <w:pPr>
        <w:spacing w:after="0"/>
      </w:pPr>
      <w:r>
        <w:separator/>
      </w:r>
    </w:p>
  </w:footnote>
  <w:footnote w:type="continuationSeparator" w:id="0">
    <w:p w14:paraId="2AD8DFF4" w14:textId="77777777" w:rsidR="00992B69" w:rsidRDefault="00992B69" w:rsidP="000C24AF">
      <w:pPr>
        <w:spacing w:after="0"/>
      </w:pPr>
      <w:r>
        <w:continuationSeparator/>
      </w:r>
    </w:p>
  </w:footnote>
  <w:footnote w:type="continuationNotice" w:id="1">
    <w:p w14:paraId="711557BF" w14:textId="77777777" w:rsidR="00992B69" w:rsidRDefault="00992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8A3B"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2" behindDoc="1" locked="1" layoutInCell="1" allowOverlap="0" wp14:anchorId="424C40DF" wp14:editId="02618D19">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721911011" name="Picture 1721911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7973F955" w14:textId="1B9C4DBB" w:rsidR="00F126B3" w:rsidRPr="009F3A1D" w:rsidRDefault="00992B69" w:rsidP="00F126B3">
    <w:pPr>
      <w:pStyle w:val="Header"/>
      <w:pBdr>
        <w:bottom w:val="single" w:sz="4" w:space="4" w:color="auto"/>
      </w:pBdr>
      <w:rPr>
        <w:sz w:val="24"/>
      </w:rPr>
    </w:pPr>
    <w:sdt>
      <w:sdtPr>
        <w:alias w:val="Title"/>
        <w:tag w:val="title"/>
        <w:id w:val="-644359137"/>
        <w:placeholder>
          <w:docPart w:val="9981FB31D47A449D8762B966F18ED5C9"/>
        </w:placeholder>
        <w:dataBinding w:prefixMappings="xmlns:ns0='http://purl.org/dc/elements/1.1/' xmlns:ns1='http://schemas.openxmlformats.org/package/2006/metadata/core-properties' " w:xpath="/ns1:coreProperties[1]/ns0:title[1]" w:storeItemID="{6C3C8BC8-F283-45AE-878A-BAB7291924A1}"/>
        <w:text/>
      </w:sdtPr>
      <w:sdtEndPr/>
      <w:sdtContent>
        <w:r w:rsidR="00F21FE6">
          <w:t>Guidance on developing joint capital resource use plans 2025/26</w:t>
        </w:r>
      </w:sdtContent>
    </w:sdt>
  </w:p>
  <w:p w14:paraId="7131347A"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150"/>
    <w:multiLevelType w:val="hybridMultilevel"/>
    <w:tmpl w:val="DBA4B8D6"/>
    <w:lvl w:ilvl="0" w:tplc="3F3440D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83234"/>
    <w:multiLevelType w:val="hybridMultilevel"/>
    <w:tmpl w:val="9364F632"/>
    <w:lvl w:ilvl="0" w:tplc="6504C6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86072"/>
    <w:multiLevelType w:val="hybridMultilevel"/>
    <w:tmpl w:val="9650E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61163A"/>
    <w:multiLevelType w:val="hybridMultilevel"/>
    <w:tmpl w:val="E370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D0782"/>
    <w:multiLevelType w:val="hybridMultilevel"/>
    <w:tmpl w:val="AECC6EAC"/>
    <w:lvl w:ilvl="0" w:tplc="4E383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82E06"/>
    <w:multiLevelType w:val="multilevel"/>
    <w:tmpl w:val="A3021E3C"/>
    <w:name w:val="nhs_bullets"/>
    <w:styleLink w:val="NHSBullets"/>
    <w:lvl w:ilvl="0">
      <w:start w:val="1"/>
      <w:numFmt w:val="bullet"/>
      <w:pStyle w:val="ListBullet"/>
      <w:lvlText w:val=""/>
      <w:lvlJc w:val="left"/>
      <w:pPr>
        <w:tabs>
          <w:tab w:val="num" w:pos="2007"/>
        </w:tabs>
        <w:ind w:left="2291" w:hanging="284"/>
      </w:pPr>
      <w:rPr>
        <w:rFonts w:ascii="Symbol" w:hAnsi="Symbol" w:hint="default"/>
        <w:color w:val="005EB8"/>
      </w:rPr>
    </w:lvl>
    <w:lvl w:ilvl="1">
      <w:start w:val="1"/>
      <w:numFmt w:val="bullet"/>
      <w:pStyle w:val="ListBullet2"/>
      <w:lvlText w:val="‒"/>
      <w:lvlJc w:val="left"/>
      <w:pPr>
        <w:tabs>
          <w:tab w:val="num" w:pos="2574"/>
        </w:tabs>
        <w:ind w:left="2574" w:hanging="283"/>
      </w:pPr>
      <w:rPr>
        <w:rFonts w:ascii="Arial" w:hAnsi="Arial" w:hint="default"/>
        <w:color w:val="005EB8"/>
      </w:rPr>
    </w:lvl>
    <w:lvl w:ilvl="2">
      <w:start w:val="1"/>
      <w:numFmt w:val="bullet"/>
      <w:pStyle w:val="ListBullet3"/>
      <w:lvlText w:val=""/>
      <w:lvlJc w:val="left"/>
      <w:pPr>
        <w:tabs>
          <w:tab w:val="num" w:pos="2512"/>
        </w:tabs>
        <w:ind w:left="2483" w:hanging="329"/>
      </w:pPr>
      <w:rPr>
        <w:rFonts w:ascii="Symbol" w:hAnsi="Symbol" w:hint="default"/>
        <w:color w:val="auto"/>
      </w:rPr>
    </w:lvl>
    <w:lvl w:ilvl="3">
      <w:start w:val="1"/>
      <w:numFmt w:val="bullet"/>
      <w:pStyle w:val="ListBullet4"/>
      <w:lvlText w:val=""/>
      <w:lvlJc w:val="left"/>
      <w:pPr>
        <w:tabs>
          <w:tab w:val="num" w:pos="2869"/>
        </w:tabs>
        <w:ind w:left="2869" w:hanging="357"/>
      </w:pPr>
      <w:rPr>
        <w:rFonts w:ascii="Symbol" w:hAnsi="Symbol" w:hint="default"/>
        <w:color w:val="auto"/>
      </w:rPr>
    </w:lvl>
    <w:lvl w:ilvl="4">
      <w:start w:val="1"/>
      <w:numFmt w:val="bullet"/>
      <w:pStyle w:val="ListBullet5"/>
      <w:lvlText w:val=""/>
      <w:lvlJc w:val="left"/>
      <w:pPr>
        <w:tabs>
          <w:tab w:val="num" w:pos="3226"/>
        </w:tabs>
        <w:ind w:left="3226" w:hanging="357"/>
      </w:pPr>
      <w:rPr>
        <w:rFonts w:ascii="Symbol" w:hAnsi="Symbol" w:hint="default"/>
        <w:color w:val="auto"/>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6" w15:restartNumberingAfterBreak="0">
    <w:nsid w:val="14BF101B"/>
    <w:multiLevelType w:val="hybridMultilevel"/>
    <w:tmpl w:val="A330E500"/>
    <w:lvl w:ilvl="0" w:tplc="ED8C93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E79D6"/>
    <w:multiLevelType w:val="hybridMultilevel"/>
    <w:tmpl w:val="D3340A34"/>
    <w:lvl w:ilvl="0" w:tplc="4CB4F9BA">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D64E92"/>
    <w:multiLevelType w:val="hybridMultilevel"/>
    <w:tmpl w:val="4EFCB010"/>
    <w:lvl w:ilvl="0" w:tplc="E924A0A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633B33"/>
    <w:multiLevelType w:val="hybridMultilevel"/>
    <w:tmpl w:val="BB60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0319A"/>
    <w:multiLevelType w:val="hybridMultilevel"/>
    <w:tmpl w:val="DF2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B3AA2"/>
    <w:multiLevelType w:val="hybridMultilevel"/>
    <w:tmpl w:val="19A89058"/>
    <w:lvl w:ilvl="0" w:tplc="C57A5A66">
      <w:start w:val="1"/>
      <w:numFmt w:val="decimal"/>
      <w:lvlText w:val="%1."/>
      <w:lvlJc w:val="left"/>
      <w:pPr>
        <w:ind w:left="360" w:hanging="360"/>
      </w:pPr>
      <w:rPr>
        <w:rFonts w:hint="default"/>
      </w:rPr>
    </w:lvl>
    <w:lvl w:ilvl="1" w:tplc="0FBE3DD4">
      <w:numFmt w:val="bullet"/>
      <w:lvlText w:val="•"/>
      <w:lvlJc w:val="left"/>
      <w:pPr>
        <w:ind w:left="1080" w:hanging="360"/>
      </w:pPr>
      <w:rPr>
        <w:rFonts w:ascii="Arial" w:eastAsia="Times New Roman" w:hAnsi="Arial" w:cs="Arial" w:hint="default"/>
        <w:color w:val="005EB9"/>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D577A2"/>
    <w:multiLevelType w:val="multilevel"/>
    <w:tmpl w:val="91DC1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54504E"/>
    <w:multiLevelType w:val="hybridMultilevel"/>
    <w:tmpl w:val="22E0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F4CF5"/>
    <w:multiLevelType w:val="hybridMultilevel"/>
    <w:tmpl w:val="5076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229EC"/>
    <w:multiLevelType w:val="hybridMultilevel"/>
    <w:tmpl w:val="8D6AC302"/>
    <w:lvl w:ilvl="0" w:tplc="3F3440D0">
      <w:start w:val="2"/>
      <w:numFmt w:val="bullet"/>
      <w:lvlText w:val="-"/>
      <w:lvlJc w:val="left"/>
      <w:pPr>
        <w:ind w:left="783" w:hanging="360"/>
      </w:pPr>
      <w:rPr>
        <w:rFonts w:ascii="Arial" w:eastAsiaTheme="minorHAnsi" w:hAnsi="Arial" w:cs="Aria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396648F1"/>
    <w:multiLevelType w:val="hybridMultilevel"/>
    <w:tmpl w:val="811C6CA6"/>
    <w:lvl w:ilvl="0" w:tplc="FFFFFFFF">
      <w:start w:val="1"/>
      <w:numFmt w:val="bullet"/>
      <w:lvlText w:val=""/>
      <w:lvlJc w:val="left"/>
      <w:pPr>
        <w:ind w:left="720" w:hanging="360"/>
      </w:pPr>
      <w:rPr>
        <w:rFonts w:ascii="Symbol" w:hAnsi="Symbol" w:hint="default"/>
      </w:rPr>
    </w:lvl>
    <w:lvl w:ilvl="1" w:tplc="FDA8DA72">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293774"/>
    <w:multiLevelType w:val="hybridMultilevel"/>
    <w:tmpl w:val="1256B3B2"/>
    <w:lvl w:ilvl="0" w:tplc="4CB4F9B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57F36"/>
    <w:multiLevelType w:val="hybridMultilevel"/>
    <w:tmpl w:val="0F72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0623D"/>
    <w:multiLevelType w:val="hybridMultilevel"/>
    <w:tmpl w:val="F8883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54094E"/>
    <w:multiLevelType w:val="hybridMultilevel"/>
    <w:tmpl w:val="E46A52B4"/>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imes New Roman" w:hAnsi="Arial" w:cs="Arial" w:hint="default"/>
        <w:color w:val="005EB9"/>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13C38E5"/>
    <w:multiLevelType w:val="hybridMultilevel"/>
    <w:tmpl w:val="C0C8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26563"/>
    <w:multiLevelType w:val="hybridMultilevel"/>
    <w:tmpl w:val="8A8A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A1444"/>
    <w:multiLevelType w:val="hybridMultilevel"/>
    <w:tmpl w:val="4C08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A7543C"/>
    <w:multiLevelType w:val="hybridMultilevel"/>
    <w:tmpl w:val="B40A9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4163B6"/>
    <w:multiLevelType w:val="multilevel"/>
    <w:tmpl w:val="F1EEC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837426"/>
    <w:multiLevelType w:val="hybridMultilevel"/>
    <w:tmpl w:val="52307748"/>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imes New Roman" w:hAnsi="Arial" w:cs="Arial" w:hint="default"/>
        <w:color w:val="005EB9"/>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D997C19"/>
    <w:multiLevelType w:val="hybridMultilevel"/>
    <w:tmpl w:val="592082A4"/>
    <w:lvl w:ilvl="0" w:tplc="9AB802B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7333E6"/>
    <w:multiLevelType w:val="hybridMultilevel"/>
    <w:tmpl w:val="653C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41F3E"/>
    <w:multiLevelType w:val="hybridMultilevel"/>
    <w:tmpl w:val="89CCC292"/>
    <w:lvl w:ilvl="0" w:tplc="4CB4F9BA">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69D6BA9"/>
    <w:multiLevelType w:val="hybridMultilevel"/>
    <w:tmpl w:val="E186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665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B0901C4"/>
    <w:multiLevelType w:val="hybridMultilevel"/>
    <w:tmpl w:val="CA56CA36"/>
    <w:lvl w:ilvl="0" w:tplc="45461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706AB5"/>
    <w:multiLevelType w:val="hybridMultilevel"/>
    <w:tmpl w:val="19D8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A50A8"/>
    <w:multiLevelType w:val="hybridMultilevel"/>
    <w:tmpl w:val="E436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D7F9D"/>
    <w:multiLevelType w:val="hybridMultilevel"/>
    <w:tmpl w:val="029A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40D9E"/>
    <w:multiLevelType w:val="hybridMultilevel"/>
    <w:tmpl w:val="AB72D6F8"/>
    <w:lvl w:ilvl="0" w:tplc="FFFFFFFF">
      <w:start w:val="1"/>
      <w:numFmt w:val="bullet"/>
      <w:lvlText w:val=""/>
      <w:lvlJc w:val="left"/>
      <w:pPr>
        <w:ind w:left="720" w:hanging="360"/>
      </w:pPr>
      <w:rPr>
        <w:rFonts w:ascii="Symbol" w:hAnsi="Symbol" w:hint="default"/>
      </w:rPr>
    </w:lvl>
    <w:lvl w:ilvl="1" w:tplc="4CB4F9BA">
      <w:start w:val="1"/>
      <w:numFmt w:val="bullet"/>
      <w:lvlText w:val="­"/>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D92082"/>
    <w:multiLevelType w:val="hybridMultilevel"/>
    <w:tmpl w:val="B7500836"/>
    <w:lvl w:ilvl="0" w:tplc="5EFE91C2">
      <w:start w:val="1"/>
      <w:numFmt w:val="bullet"/>
      <w:lvlText w:val="•"/>
      <w:lvlJc w:val="left"/>
      <w:pPr>
        <w:tabs>
          <w:tab w:val="num" w:pos="720"/>
        </w:tabs>
        <w:ind w:left="720" w:hanging="360"/>
      </w:pPr>
      <w:rPr>
        <w:rFonts w:ascii="Arial" w:hAnsi="Arial" w:hint="default"/>
      </w:rPr>
    </w:lvl>
    <w:lvl w:ilvl="1" w:tplc="491664D0" w:tentative="1">
      <w:start w:val="1"/>
      <w:numFmt w:val="bullet"/>
      <w:lvlText w:val="•"/>
      <w:lvlJc w:val="left"/>
      <w:pPr>
        <w:tabs>
          <w:tab w:val="num" w:pos="1440"/>
        </w:tabs>
        <w:ind w:left="1440" w:hanging="360"/>
      </w:pPr>
      <w:rPr>
        <w:rFonts w:ascii="Arial" w:hAnsi="Arial" w:hint="default"/>
      </w:rPr>
    </w:lvl>
    <w:lvl w:ilvl="2" w:tplc="F626A598" w:tentative="1">
      <w:start w:val="1"/>
      <w:numFmt w:val="bullet"/>
      <w:lvlText w:val="•"/>
      <w:lvlJc w:val="left"/>
      <w:pPr>
        <w:tabs>
          <w:tab w:val="num" w:pos="2160"/>
        </w:tabs>
        <w:ind w:left="2160" w:hanging="360"/>
      </w:pPr>
      <w:rPr>
        <w:rFonts w:ascii="Arial" w:hAnsi="Arial" w:hint="default"/>
      </w:rPr>
    </w:lvl>
    <w:lvl w:ilvl="3" w:tplc="557E531C" w:tentative="1">
      <w:start w:val="1"/>
      <w:numFmt w:val="bullet"/>
      <w:lvlText w:val="•"/>
      <w:lvlJc w:val="left"/>
      <w:pPr>
        <w:tabs>
          <w:tab w:val="num" w:pos="2880"/>
        </w:tabs>
        <w:ind w:left="2880" w:hanging="360"/>
      </w:pPr>
      <w:rPr>
        <w:rFonts w:ascii="Arial" w:hAnsi="Arial" w:hint="default"/>
      </w:rPr>
    </w:lvl>
    <w:lvl w:ilvl="4" w:tplc="E2CC3798" w:tentative="1">
      <w:start w:val="1"/>
      <w:numFmt w:val="bullet"/>
      <w:lvlText w:val="•"/>
      <w:lvlJc w:val="left"/>
      <w:pPr>
        <w:tabs>
          <w:tab w:val="num" w:pos="3600"/>
        </w:tabs>
        <w:ind w:left="3600" w:hanging="360"/>
      </w:pPr>
      <w:rPr>
        <w:rFonts w:ascii="Arial" w:hAnsi="Arial" w:hint="default"/>
      </w:rPr>
    </w:lvl>
    <w:lvl w:ilvl="5" w:tplc="37B236B4" w:tentative="1">
      <w:start w:val="1"/>
      <w:numFmt w:val="bullet"/>
      <w:lvlText w:val="•"/>
      <w:lvlJc w:val="left"/>
      <w:pPr>
        <w:tabs>
          <w:tab w:val="num" w:pos="4320"/>
        </w:tabs>
        <w:ind w:left="4320" w:hanging="360"/>
      </w:pPr>
      <w:rPr>
        <w:rFonts w:ascii="Arial" w:hAnsi="Arial" w:hint="default"/>
      </w:rPr>
    </w:lvl>
    <w:lvl w:ilvl="6" w:tplc="0DCA5F80" w:tentative="1">
      <w:start w:val="1"/>
      <w:numFmt w:val="bullet"/>
      <w:lvlText w:val="•"/>
      <w:lvlJc w:val="left"/>
      <w:pPr>
        <w:tabs>
          <w:tab w:val="num" w:pos="5040"/>
        </w:tabs>
        <w:ind w:left="5040" w:hanging="360"/>
      </w:pPr>
      <w:rPr>
        <w:rFonts w:ascii="Arial" w:hAnsi="Arial" w:hint="default"/>
      </w:rPr>
    </w:lvl>
    <w:lvl w:ilvl="7" w:tplc="30C42C90" w:tentative="1">
      <w:start w:val="1"/>
      <w:numFmt w:val="bullet"/>
      <w:lvlText w:val="•"/>
      <w:lvlJc w:val="left"/>
      <w:pPr>
        <w:tabs>
          <w:tab w:val="num" w:pos="5760"/>
        </w:tabs>
        <w:ind w:left="5760" w:hanging="360"/>
      </w:pPr>
      <w:rPr>
        <w:rFonts w:ascii="Arial" w:hAnsi="Arial" w:hint="default"/>
      </w:rPr>
    </w:lvl>
    <w:lvl w:ilvl="8" w:tplc="02863F04" w:tentative="1">
      <w:start w:val="1"/>
      <w:numFmt w:val="bullet"/>
      <w:lvlText w:val="•"/>
      <w:lvlJc w:val="left"/>
      <w:pPr>
        <w:tabs>
          <w:tab w:val="num" w:pos="6480"/>
        </w:tabs>
        <w:ind w:left="6480" w:hanging="360"/>
      </w:pPr>
      <w:rPr>
        <w:rFonts w:ascii="Arial" w:hAnsi="Arial" w:hint="default"/>
      </w:rPr>
    </w:lvl>
  </w:abstractNum>
  <w:num w:numId="1" w16cid:durableId="1349795252">
    <w:abstractNumId w:val="1"/>
  </w:num>
  <w:num w:numId="2" w16cid:durableId="1394693074">
    <w:abstractNumId w:val="20"/>
  </w:num>
  <w:num w:numId="3" w16cid:durableId="570964709">
    <w:abstractNumId w:val="13"/>
  </w:num>
  <w:num w:numId="4" w16cid:durableId="255678522">
    <w:abstractNumId w:val="5"/>
    <w:lvlOverride w:ilvl="0">
      <w:lvl w:ilvl="0">
        <w:start w:val="1"/>
        <w:numFmt w:val="bullet"/>
        <w:pStyle w:val="ListBullet"/>
        <w:lvlText w:val=""/>
        <w:lvlJc w:val="left"/>
        <w:pPr>
          <w:tabs>
            <w:tab w:val="num" w:pos="2716"/>
          </w:tabs>
          <w:ind w:left="3000" w:hanging="284"/>
        </w:pPr>
        <w:rPr>
          <w:rFonts w:ascii="Symbol" w:hAnsi="Symbol" w:hint="default"/>
          <w:color w:val="FFFFFF" w:themeColor="text1"/>
        </w:rPr>
      </w:lvl>
    </w:lvlOverride>
  </w:num>
  <w:num w:numId="5" w16cid:durableId="1307932120">
    <w:abstractNumId w:val="5"/>
  </w:num>
  <w:num w:numId="6" w16cid:durableId="1047995405">
    <w:abstractNumId w:val="15"/>
  </w:num>
  <w:num w:numId="7" w16cid:durableId="1100757277">
    <w:abstractNumId w:val="23"/>
  </w:num>
  <w:num w:numId="8" w16cid:durableId="2048144116">
    <w:abstractNumId w:val="32"/>
  </w:num>
  <w:num w:numId="9" w16cid:durableId="1413968820">
    <w:abstractNumId w:val="10"/>
  </w:num>
  <w:num w:numId="10" w16cid:durableId="2068644195">
    <w:abstractNumId w:val="26"/>
  </w:num>
  <w:num w:numId="11" w16cid:durableId="941034110">
    <w:abstractNumId w:val="14"/>
  </w:num>
  <w:num w:numId="12" w16cid:durableId="1350714437">
    <w:abstractNumId w:val="25"/>
  </w:num>
  <w:num w:numId="13" w16cid:durableId="1480533346">
    <w:abstractNumId w:val="24"/>
  </w:num>
  <w:num w:numId="14" w16cid:durableId="1341853188">
    <w:abstractNumId w:val="4"/>
  </w:num>
  <w:num w:numId="15" w16cid:durableId="864832937">
    <w:abstractNumId w:val="4"/>
    <w:lvlOverride w:ilvl="0">
      <w:startOverride w:val="1"/>
    </w:lvlOverride>
  </w:num>
  <w:num w:numId="16" w16cid:durableId="177931386">
    <w:abstractNumId w:val="34"/>
  </w:num>
  <w:num w:numId="17" w16cid:durableId="717511606">
    <w:abstractNumId w:val="8"/>
  </w:num>
  <w:num w:numId="18" w16cid:durableId="897205672">
    <w:abstractNumId w:val="6"/>
  </w:num>
  <w:num w:numId="19" w16cid:durableId="413205423">
    <w:abstractNumId w:val="29"/>
  </w:num>
  <w:num w:numId="20" w16cid:durableId="977491109">
    <w:abstractNumId w:val="3"/>
  </w:num>
  <w:num w:numId="21" w16cid:durableId="468060089">
    <w:abstractNumId w:val="36"/>
  </w:num>
  <w:num w:numId="22" w16cid:durableId="816922572">
    <w:abstractNumId w:val="19"/>
  </w:num>
  <w:num w:numId="23" w16cid:durableId="1563328400">
    <w:abstractNumId w:val="9"/>
  </w:num>
  <w:num w:numId="24" w16cid:durableId="2099668820">
    <w:abstractNumId w:val="17"/>
  </w:num>
  <w:num w:numId="25" w16cid:durableId="249975631">
    <w:abstractNumId w:val="38"/>
  </w:num>
  <w:num w:numId="26" w16cid:durableId="615790423">
    <w:abstractNumId w:val="18"/>
  </w:num>
  <w:num w:numId="27" w16cid:durableId="310524080">
    <w:abstractNumId w:val="0"/>
  </w:num>
  <w:num w:numId="28" w16cid:durableId="1670057353">
    <w:abstractNumId w:val="12"/>
  </w:num>
  <w:num w:numId="29" w16cid:durableId="815298018">
    <w:abstractNumId w:val="16"/>
  </w:num>
  <w:num w:numId="30" w16cid:durableId="772818333">
    <w:abstractNumId w:val="30"/>
  </w:num>
  <w:num w:numId="31" w16cid:durableId="1302266348">
    <w:abstractNumId w:val="11"/>
  </w:num>
  <w:num w:numId="32" w16cid:durableId="1377654711">
    <w:abstractNumId w:val="21"/>
  </w:num>
  <w:num w:numId="33" w16cid:durableId="417216441">
    <w:abstractNumId w:val="22"/>
  </w:num>
  <w:num w:numId="34" w16cid:durableId="794176733">
    <w:abstractNumId w:val="31"/>
  </w:num>
  <w:num w:numId="35" w16cid:durableId="1322543237">
    <w:abstractNumId w:val="7"/>
  </w:num>
  <w:num w:numId="36" w16cid:durableId="2081323043">
    <w:abstractNumId w:val="27"/>
  </w:num>
  <w:num w:numId="37" w16cid:durableId="10692969">
    <w:abstractNumId w:val="35"/>
  </w:num>
  <w:num w:numId="38" w16cid:durableId="157311729">
    <w:abstractNumId w:val="2"/>
  </w:num>
  <w:num w:numId="39" w16cid:durableId="151484151">
    <w:abstractNumId w:val="39"/>
  </w:num>
  <w:num w:numId="40" w16cid:durableId="841700102">
    <w:abstractNumId w:val="33"/>
  </w:num>
  <w:num w:numId="41" w16cid:durableId="638649464">
    <w:abstractNumId w:val="28"/>
  </w:num>
  <w:num w:numId="42" w16cid:durableId="56348701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2F"/>
    <w:rsid w:val="00000197"/>
    <w:rsid w:val="000005C7"/>
    <w:rsid w:val="000031CE"/>
    <w:rsid w:val="00003EE8"/>
    <w:rsid w:val="0000416F"/>
    <w:rsid w:val="00004C77"/>
    <w:rsid w:val="000055C4"/>
    <w:rsid w:val="000057DE"/>
    <w:rsid w:val="00006985"/>
    <w:rsid w:val="000108B8"/>
    <w:rsid w:val="00010AD7"/>
    <w:rsid w:val="0001164C"/>
    <w:rsid w:val="000213EB"/>
    <w:rsid w:val="000218ED"/>
    <w:rsid w:val="000271F6"/>
    <w:rsid w:val="00027653"/>
    <w:rsid w:val="000301EA"/>
    <w:rsid w:val="00031129"/>
    <w:rsid w:val="0003185C"/>
    <w:rsid w:val="00031FD0"/>
    <w:rsid w:val="000322DD"/>
    <w:rsid w:val="0003295C"/>
    <w:rsid w:val="00032B2E"/>
    <w:rsid w:val="0003436D"/>
    <w:rsid w:val="000345E8"/>
    <w:rsid w:val="0003712E"/>
    <w:rsid w:val="00041212"/>
    <w:rsid w:val="00042DB3"/>
    <w:rsid w:val="00046668"/>
    <w:rsid w:val="00046C3B"/>
    <w:rsid w:val="000503BA"/>
    <w:rsid w:val="00050726"/>
    <w:rsid w:val="000524F3"/>
    <w:rsid w:val="00055630"/>
    <w:rsid w:val="00060FC9"/>
    <w:rsid w:val="00061452"/>
    <w:rsid w:val="000635C9"/>
    <w:rsid w:val="00065021"/>
    <w:rsid w:val="00066BF1"/>
    <w:rsid w:val="00067BCC"/>
    <w:rsid w:val="000702CF"/>
    <w:rsid w:val="000733A2"/>
    <w:rsid w:val="00076C59"/>
    <w:rsid w:val="00076CE2"/>
    <w:rsid w:val="00080908"/>
    <w:rsid w:val="00080985"/>
    <w:rsid w:val="00081B39"/>
    <w:rsid w:val="00081F1D"/>
    <w:rsid w:val="00082491"/>
    <w:rsid w:val="00082499"/>
    <w:rsid w:val="0008313C"/>
    <w:rsid w:val="000840C2"/>
    <w:rsid w:val="00085B44"/>
    <w:rsid w:val="000863E2"/>
    <w:rsid w:val="000873BE"/>
    <w:rsid w:val="00091929"/>
    <w:rsid w:val="00092728"/>
    <w:rsid w:val="000935A1"/>
    <w:rsid w:val="00093EF5"/>
    <w:rsid w:val="000942DE"/>
    <w:rsid w:val="0009485D"/>
    <w:rsid w:val="00094ADF"/>
    <w:rsid w:val="00095621"/>
    <w:rsid w:val="00096526"/>
    <w:rsid w:val="0009691C"/>
    <w:rsid w:val="000A0D54"/>
    <w:rsid w:val="000A1144"/>
    <w:rsid w:val="000A266D"/>
    <w:rsid w:val="000A3B2D"/>
    <w:rsid w:val="000A40D3"/>
    <w:rsid w:val="000A5108"/>
    <w:rsid w:val="000A5EFA"/>
    <w:rsid w:val="000A64E4"/>
    <w:rsid w:val="000B1A4F"/>
    <w:rsid w:val="000B2E1F"/>
    <w:rsid w:val="000B3260"/>
    <w:rsid w:val="000B38EA"/>
    <w:rsid w:val="000B4EA8"/>
    <w:rsid w:val="000B5A3F"/>
    <w:rsid w:val="000B7D23"/>
    <w:rsid w:val="000C05C3"/>
    <w:rsid w:val="000C2447"/>
    <w:rsid w:val="000C24AF"/>
    <w:rsid w:val="000C5508"/>
    <w:rsid w:val="000C57B8"/>
    <w:rsid w:val="000C5891"/>
    <w:rsid w:val="000C6751"/>
    <w:rsid w:val="000D12DB"/>
    <w:rsid w:val="000D1CD7"/>
    <w:rsid w:val="000D338D"/>
    <w:rsid w:val="000D338F"/>
    <w:rsid w:val="000D39C3"/>
    <w:rsid w:val="000D6040"/>
    <w:rsid w:val="000D7F6F"/>
    <w:rsid w:val="000E09B0"/>
    <w:rsid w:val="000E2EBE"/>
    <w:rsid w:val="000E6D0E"/>
    <w:rsid w:val="000F097A"/>
    <w:rsid w:val="000F1F92"/>
    <w:rsid w:val="000F3C95"/>
    <w:rsid w:val="000F7FE1"/>
    <w:rsid w:val="00100343"/>
    <w:rsid w:val="00101883"/>
    <w:rsid w:val="0010192E"/>
    <w:rsid w:val="001024DC"/>
    <w:rsid w:val="00103F4D"/>
    <w:rsid w:val="0010592F"/>
    <w:rsid w:val="00113EEC"/>
    <w:rsid w:val="0011433C"/>
    <w:rsid w:val="00114B34"/>
    <w:rsid w:val="00117F01"/>
    <w:rsid w:val="00121A3A"/>
    <w:rsid w:val="00123CA6"/>
    <w:rsid w:val="00126FB6"/>
    <w:rsid w:val="00127C11"/>
    <w:rsid w:val="00133BF0"/>
    <w:rsid w:val="001340AC"/>
    <w:rsid w:val="001370D6"/>
    <w:rsid w:val="00142E93"/>
    <w:rsid w:val="001433EF"/>
    <w:rsid w:val="00145C98"/>
    <w:rsid w:val="00150A67"/>
    <w:rsid w:val="001532F4"/>
    <w:rsid w:val="00155537"/>
    <w:rsid w:val="00156610"/>
    <w:rsid w:val="00157024"/>
    <w:rsid w:val="0016028A"/>
    <w:rsid w:val="00162261"/>
    <w:rsid w:val="0016369D"/>
    <w:rsid w:val="00163969"/>
    <w:rsid w:val="00163BEC"/>
    <w:rsid w:val="00164392"/>
    <w:rsid w:val="001716E5"/>
    <w:rsid w:val="0017183E"/>
    <w:rsid w:val="00172021"/>
    <w:rsid w:val="00172921"/>
    <w:rsid w:val="0017482B"/>
    <w:rsid w:val="00183BFF"/>
    <w:rsid w:val="00185116"/>
    <w:rsid w:val="00185968"/>
    <w:rsid w:val="0019167F"/>
    <w:rsid w:val="00193A06"/>
    <w:rsid w:val="0019414D"/>
    <w:rsid w:val="001949DC"/>
    <w:rsid w:val="00194EA7"/>
    <w:rsid w:val="0019592C"/>
    <w:rsid w:val="00197739"/>
    <w:rsid w:val="001A0D22"/>
    <w:rsid w:val="001A0D29"/>
    <w:rsid w:val="001A1D6A"/>
    <w:rsid w:val="001A3CE5"/>
    <w:rsid w:val="001A6F05"/>
    <w:rsid w:val="001B45C0"/>
    <w:rsid w:val="001C04FC"/>
    <w:rsid w:val="001C1D52"/>
    <w:rsid w:val="001C30F7"/>
    <w:rsid w:val="001C3565"/>
    <w:rsid w:val="001C6937"/>
    <w:rsid w:val="001C7E2B"/>
    <w:rsid w:val="001D237C"/>
    <w:rsid w:val="001D243C"/>
    <w:rsid w:val="001D5CCC"/>
    <w:rsid w:val="001D7D3B"/>
    <w:rsid w:val="001E004E"/>
    <w:rsid w:val="001E2170"/>
    <w:rsid w:val="001E27F8"/>
    <w:rsid w:val="001E4556"/>
    <w:rsid w:val="001E52B2"/>
    <w:rsid w:val="001F14C2"/>
    <w:rsid w:val="001F3126"/>
    <w:rsid w:val="001F377F"/>
    <w:rsid w:val="00200C9D"/>
    <w:rsid w:val="002020D0"/>
    <w:rsid w:val="002048D3"/>
    <w:rsid w:val="00204ECE"/>
    <w:rsid w:val="00205415"/>
    <w:rsid w:val="00210345"/>
    <w:rsid w:val="00210972"/>
    <w:rsid w:val="00211E50"/>
    <w:rsid w:val="00213868"/>
    <w:rsid w:val="002141D0"/>
    <w:rsid w:val="002175BE"/>
    <w:rsid w:val="0022134A"/>
    <w:rsid w:val="00222B10"/>
    <w:rsid w:val="0022462B"/>
    <w:rsid w:val="0022596F"/>
    <w:rsid w:val="00227ACC"/>
    <w:rsid w:val="00230AA6"/>
    <w:rsid w:val="00231299"/>
    <w:rsid w:val="002347B7"/>
    <w:rsid w:val="002358E8"/>
    <w:rsid w:val="002365A0"/>
    <w:rsid w:val="00240B6E"/>
    <w:rsid w:val="002440E5"/>
    <w:rsid w:val="00245FE3"/>
    <w:rsid w:val="00246075"/>
    <w:rsid w:val="0024677B"/>
    <w:rsid w:val="00247D03"/>
    <w:rsid w:val="00251074"/>
    <w:rsid w:val="00251B94"/>
    <w:rsid w:val="00255D84"/>
    <w:rsid w:val="00255F8E"/>
    <w:rsid w:val="00260EF0"/>
    <w:rsid w:val="00263CCF"/>
    <w:rsid w:val="002643F6"/>
    <w:rsid w:val="0026683F"/>
    <w:rsid w:val="00266C07"/>
    <w:rsid w:val="00266DAB"/>
    <w:rsid w:val="00270DAD"/>
    <w:rsid w:val="002722F2"/>
    <w:rsid w:val="00274EC8"/>
    <w:rsid w:val="00277A8D"/>
    <w:rsid w:val="00280193"/>
    <w:rsid w:val="002855F7"/>
    <w:rsid w:val="002905E7"/>
    <w:rsid w:val="00290BFD"/>
    <w:rsid w:val="002916EE"/>
    <w:rsid w:val="00294488"/>
    <w:rsid w:val="00295574"/>
    <w:rsid w:val="00297D91"/>
    <w:rsid w:val="002A278E"/>
    <w:rsid w:val="002A3F48"/>
    <w:rsid w:val="002A45CD"/>
    <w:rsid w:val="002A4B2F"/>
    <w:rsid w:val="002B24BD"/>
    <w:rsid w:val="002B2CB5"/>
    <w:rsid w:val="002B3217"/>
    <w:rsid w:val="002B3BFD"/>
    <w:rsid w:val="002B50C2"/>
    <w:rsid w:val="002B646B"/>
    <w:rsid w:val="002B7498"/>
    <w:rsid w:val="002B7B23"/>
    <w:rsid w:val="002C0816"/>
    <w:rsid w:val="002C0B95"/>
    <w:rsid w:val="002D5F67"/>
    <w:rsid w:val="002E2CF0"/>
    <w:rsid w:val="002E3AEB"/>
    <w:rsid w:val="002E6B3E"/>
    <w:rsid w:val="002E7915"/>
    <w:rsid w:val="002F00DF"/>
    <w:rsid w:val="002F45CE"/>
    <w:rsid w:val="002F500E"/>
    <w:rsid w:val="002F623D"/>
    <w:rsid w:val="002F7B8F"/>
    <w:rsid w:val="00302E8F"/>
    <w:rsid w:val="003062BB"/>
    <w:rsid w:val="00306F8B"/>
    <w:rsid w:val="003103E9"/>
    <w:rsid w:val="0031052A"/>
    <w:rsid w:val="003110C7"/>
    <w:rsid w:val="00312635"/>
    <w:rsid w:val="00312739"/>
    <w:rsid w:val="0031393D"/>
    <w:rsid w:val="00315BFC"/>
    <w:rsid w:val="0032140C"/>
    <w:rsid w:val="00321970"/>
    <w:rsid w:val="00322D9E"/>
    <w:rsid w:val="0032671C"/>
    <w:rsid w:val="00327E3E"/>
    <w:rsid w:val="00333DD0"/>
    <w:rsid w:val="0033674A"/>
    <w:rsid w:val="00336DF1"/>
    <w:rsid w:val="00336F71"/>
    <w:rsid w:val="0033715E"/>
    <w:rsid w:val="00341932"/>
    <w:rsid w:val="00344327"/>
    <w:rsid w:val="0034439B"/>
    <w:rsid w:val="003444C7"/>
    <w:rsid w:val="00344F4F"/>
    <w:rsid w:val="003454C5"/>
    <w:rsid w:val="0034560E"/>
    <w:rsid w:val="003523FC"/>
    <w:rsid w:val="0035386A"/>
    <w:rsid w:val="00353E9B"/>
    <w:rsid w:val="0035464A"/>
    <w:rsid w:val="00355691"/>
    <w:rsid w:val="003569DB"/>
    <w:rsid w:val="003570AB"/>
    <w:rsid w:val="003574AF"/>
    <w:rsid w:val="003602B8"/>
    <w:rsid w:val="0036081E"/>
    <w:rsid w:val="003639AC"/>
    <w:rsid w:val="00364E2C"/>
    <w:rsid w:val="00365722"/>
    <w:rsid w:val="00366F65"/>
    <w:rsid w:val="0036773C"/>
    <w:rsid w:val="003716B8"/>
    <w:rsid w:val="0037185F"/>
    <w:rsid w:val="00372D09"/>
    <w:rsid w:val="00375DA9"/>
    <w:rsid w:val="003769AE"/>
    <w:rsid w:val="00376A1F"/>
    <w:rsid w:val="00377764"/>
    <w:rsid w:val="003836F9"/>
    <w:rsid w:val="00387C4A"/>
    <w:rsid w:val="003952A2"/>
    <w:rsid w:val="003A210B"/>
    <w:rsid w:val="003A4B22"/>
    <w:rsid w:val="003B0852"/>
    <w:rsid w:val="003B2686"/>
    <w:rsid w:val="003B36E3"/>
    <w:rsid w:val="003B3A19"/>
    <w:rsid w:val="003B3C7F"/>
    <w:rsid w:val="003B5262"/>
    <w:rsid w:val="003B596D"/>
    <w:rsid w:val="003B60D0"/>
    <w:rsid w:val="003B6BB4"/>
    <w:rsid w:val="003B7A03"/>
    <w:rsid w:val="003C0732"/>
    <w:rsid w:val="003C46E3"/>
    <w:rsid w:val="003C5D6D"/>
    <w:rsid w:val="003D059C"/>
    <w:rsid w:val="003D22C8"/>
    <w:rsid w:val="003D2C50"/>
    <w:rsid w:val="003D3A42"/>
    <w:rsid w:val="003E1CAE"/>
    <w:rsid w:val="003E253E"/>
    <w:rsid w:val="003E57B6"/>
    <w:rsid w:val="003E6D76"/>
    <w:rsid w:val="003E6EA3"/>
    <w:rsid w:val="003E7052"/>
    <w:rsid w:val="003E7C43"/>
    <w:rsid w:val="003F254B"/>
    <w:rsid w:val="003F33EC"/>
    <w:rsid w:val="003F3C38"/>
    <w:rsid w:val="003F4289"/>
    <w:rsid w:val="003F481C"/>
    <w:rsid w:val="003F7B0C"/>
    <w:rsid w:val="004006C3"/>
    <w:rsid w:val="004015BB"/>
    <w:rsid w:val="00402D6E"/>
    <w:rsid w:val="0040410F"/>
    <w:rsid w:val="004043DB"/>
    <w:rsid w:val="004068B9"/>
    <w:rsid w:val="00411D1D"/>
    <w:rsid w:val="00412174"/>
    <w:rsid w:val="004147A0"/>
    <w:rsid w:val="00416630"/>
    <w:rsid w:val="00420E7F"/>
    <w:rsid w:val="004211F1"/>
    <w:rsid w:val="0042241D"/>
    <w:rsid w:val="00423FAF"/>
    <w:rsid w:val="00425612"/>
    <w:rsid w:val="00427636"/>
    <w:rsid w:val="00430131"/>
    <w:rsid w:val="00435EC2"/>
    <w:rsid w:val="004425B0"/>
    <w:rsid w:val="00443074"/>
    <w:rsid w:val="00443088"/>
    <w:rsid w:val="00444CDD"/>
    <w:rsid w:val="00447E51"/>
    <w:rsid w:val="00455A3F"/>
    <w:rsid w:val="00456C12"/>
    <w:rsid w:val="00465401"/>
    <w:rsid w:val="00471AF8"/>
    <w:rsid w:val="00472A0C"/>
    <w:rsid w:val="00472D24"/>
    <w:rsid w:val="00472D33"/>
    <w:rsid w:val="004742C8"/>
    <w:rsid w:val="0047462B"/>
    <w:rsid w:val="004761CE"/>
    <w:rsid w:val="00480932"/>
    <w:rsid w:val="00480CB8"/>
    <w:rsid w:val="00481FB0"/>
    <w:rsid w:val="004838BE"/>
    <w:rsid w:val="00491977"/>
    <w:rsid w:val="00493A1B"/>
    <w:rsid w:val="0049494F"/>
    <w:rsid w:val="00497DE0"/>
    <w:rsid w:val="004A52E3"/>
    <w:rsid w:val="004A646E"/>
    <w:rsid w:val="004B0364"/>
    <w:rsid w:val="004B0A4D"/>
    <w:rsid w:val="004B20B2"/>
    <w:rsid w:val="004B2C6C"/>
    <w:rsid w:val="004B427A"/>
    <w:rsid w:val="004B50C6"/>
    <w:rsid w:val="004C4CB1"/>
    <w:rsid w:val="004C75CC"/>
    <w:rsid w:val="004D3B7C"/>
    <w:rsid w:val="004D763F"/>
    <w:rsid w:val="004D7698"/>
    <w:rsid w:val="004D779A"/>
    <w:rsid w:val="004D7FF2"/>
    <w:rsid w:val="004E0804"/>
    <w:rsid w:val="004E669E"/>
    <w:rsid w:val="004F0A67"/>
    <w:rsid w:val="004F1337"/>
    <w:rsid w:val="004F28CE"/>
    <w:rsid w:val="004F478D"/>
    <w:rsid w:val="004F6303"/>
    <w:rsid w:val="004F69E2"/>
    <w:rsid w:val="004F7BD3"/>
    <w:rsid w:val="005014AF"/>
    <w:rsid w:val="0050303F"/>
    <w:rsid w:val="005059D5"/>
    <w:rsid w:val="00505B41"/>
    <w:rsid w:val="0050738C"/>
    <w:rsid w:val="00510FA6"/>
    <w:rsid w:val="00514B69"/>
    <w:rsid w:val="0051722D"/>
    <w:rsid w:val="0051767F"/>
    <w:rsid w:val="00517D5D"/>
    <w:rsid w:val="00521689"/>
    <w:rsid w:val="00521D82"/>
    <w:rsid w:val="00522031"/>
    <w:rsid w:val="0052302B"/>
    <w:rsid w:val="005256C9"/>
    <w:rsid w:val="00525E0C"/>
    <w:rsid w:val="005263C5"/>
    <w:rsid w:val="0052756A"/>
    <w:rsid w:val="005308DE"/>
    <w:rsid w:val="00534180"/>
    <w:rsid w:val="005358C3"/>
    <w:rsid w:val="00537433"/>
    <w:rsid w:val="00540C60"/>
    <w:rsid w:val="00541624"/>
    <w:rsid w:val="00544C0C"/>
    <w:rsid w:val="00545FE1"/>
    <w:rsid w:val="005473F9"/>
    <w:rsid w:val="00547C28"/>
    <w:rsid w:val="00552EB1"/>
    <w:rsid w:val="0055353C"/>
    <w:rsid w:val="00554CB7"/>
    <w:rsid w:val="00560A78"/>
    <w:rsid w:val="00560C6B"/>
    <w:rsid w:val="005634F0"/>
    <w:rsid w:val="00563886"/>
    <w:rsid w:val="00564581"/>
    <w:rsid w:val="00565C95"/>
    <w:rsid w:val="0057266B"/>
    <w:rsid w:val="005730C1"/>
    <w:rsid w:val="00573EED"/>
    <w:rsid w:val="00574B6D"/>
    <w:rsid w:val="00577A42"/>
    <w:rsid w:val="005802AA"/>
    <w:rsid w:val="0058074E"/>
    <w:rsid w:val="0058121B"/>
    <w:rsid w:val="00582335"/>
    <w:rsid w:val="0058376A"/>
    <w:rsid w:val="00584D6A"/>
    <w:rsid w:val="00586610"/>
    <w:rsid w:val="005875B0"/>
    <w:rsid w:val="00590D21"/>
    <w:rsid w:val="005946F3"/>
    <w:rsid w:val="0059509C"/>
    <w:rsid w:val="005A0D6F"/>
    <w:rsid w:val="005A3839"/>
    <w:rsid w:val="005A3B89"/>
    <w:rsid w:val="005A493F"/>
    <w:rsid w:val="005A7217"/>
    <w:rsid w:val="005B1D2A"/>
    <w:rsid w:val="005B7001"/>
    <w:rsid w:val="005C068C"/>
    <w:rsid w:val="005C2644"/>
    <w:rsid w:val="005C3745"/>
    <w:rsid w:val="005D0F7E"/>
    <w:rsid w:val="005D2080"/>
    <w:rsid w:val="005D234A"/>
    <w:rsid w:val="005D2E06"/>
    <w:rsid w:val="005D3902"/>
    <w:rsid w:val="005D4E5A"/>
    <w:rsid w:val="005D61B4"/>
    <w:rsid w:val="005E044E"/>
    <w:rsid w:val="005E060B"/>
    <w:rsid w:val="005E0CF3"/>
    <w:rsid w:val="005E1C3C"/>
    <w:rsid w:val="005E2CD8"/>
    <w:rsid w:val="005E6EBA"/>
    <w:rsid w:val="005E7205"/>
    <w:rsid w:val="005F0359"/>
    <w:rsid w:val="00601628"/>
    <w:rsid w:val="00601DBA"/>
    <w:rsid w:val="00603A2C"/>
    <w:rsid w:val="00605C6F"/>
    <w:rsid w:val="006064D4"/>
    <w:rsid w:val="00612389"/>
    <w:rsid w:val="00613251"/>
    <w:rsid w:val="00613A01"/>
    <w:rsid w:val="006145E0"/>
    <w:rsid w:val="00614F79"/>
    <w:rsid w:val="00616632"/>
    <w:rsid w:val="00617402"/>
    <w:rsid w:val="00617CB9"/>
    <w:rsid w:val="00621E9A"/>
    <w:rsid w:val="00625734"/>
    <w:rsid w:val="00625829"/>
    <w:rsid w:val="00627B9B"/>
    <w:rsid w:val="0063025D"/>
    <w:rsid w:val="006339C2"/>
    <w:rsid w:val="00634384"/>
    <w:rsid w:val="0063502E"/>
    <w:rsid w:val="0064203F"/>
    <w:rsid w:val="00644F0F"/>
    <w:rsid w:val="00646F12"/>
    <w:rsid w:val="00650250"/>
    <w:rsid w:val="00650AC5"/>
    <w:rsid w:val="006520A5"/>
    <w:rsid w:val="00654EE0"/>
    <w:rsid w:val="0065507F"/>
    <w:rsid w:val="006562C8"/>
    <w:rsid w:val="0065752A"/>
    <w:rsid w:val="006615C2"/>
    <w:rsid w:val="00662FCA"/>
    <w:rsid w:val="006662D3"/>
    <w:rsid w:val="00666606"/>
    <w:rsid w:val="006679DE"/>
    <w:rsid w:val="00670F99"/>
    <w:rsid w:val="00671B7A"/>
    <w:rsid w:val="00672717"/>
    <w:rsid w:val="006727C1"/>
    <w:rsid w:val="00673CCA"/>
    <w:rsid w:val="00675E35"/>
    <w:rsid w:val="00680658"/>
    <w:rsid w:val="00680668"/>
    <w:rsid w:val="00682E3B"/>
    <w:rsid w:val="00684633"/>
    <w:rsid w:val="00691881"/>
    <w:rsid w:val="00692041"/>
    <w:rsid w:val="00693610"/>
    <w:rsid w:val="00694FC4"/>
    <w:rsid w:val="00697846"/>
    <w:rsid w:val="00697CAE"/>
    <w:rsid w:val="006A15DC"/>
    <w:rsid w:val="006A1A37"/>
    <w:rsid w:val="006A7BB0"/>
    <w:rsid w:val="006B72B1"/>
    <w:rsid w:val="006B7CE4"/>
    <w:rsid w:val="006C1240"/>
    <w:rsid w:val="006C3A5B"/>
    <w:rsid w:val="006C44AA"/>
    <w:rsid w:val="006C5419"/>
    <w:rsid w:val="006C7E28"/>
    <w:rsid w:val="006D02E8"/>
    <w:rsid w:val="006D5495"/>
    <w:rsid w:val="006E275C"/>
    <w:rsid w:val="006E2FE7"/>
    <w:rsid w:val="006F37F0"/>
    <w:rsid w:val="00700880"/>
    <w:rsid w:val="007010E1"/>
    <w:rsid w:val="0070227A"/>
    <w:rsid w:val="007028E3"/>
    <w:rsid w:val="00702B4D"/>
    <w:rsid w:val="00702B75"/>
    <w:rsid w:val="00707273"/>
    <w:rsid w:val="00710E40"/>
    <w:rsid w:val="00714540"/>
    <w:rsid w:val="0071497F"/>
    <w:rsid w:val="00716807"/>
    <w:rsid w:val="00717304"/>
    <w:rsid w:val="007204A6"/>
    <w:rsid w:val="007213A2"/>
    <w:rsid w:val="00723A85"/>
    <w:rsid w:val="00725096"/>
    <w:rsid w:val="007302A0"/>
    <w:rsid w:val="007312DB"/>
    <w:rsid w:val="0073429A"/>
    <w:rsid w:val="007375BC"/>
    <w:rsid w:val="00740573"/>
    <w:rsid w:val="0074507D"/>
    <w:rsid w:val="007506BC"/>
    <w:rsid w:val="00751FEC"/>
    <w:rsid w:val="00753782"/>
    <w:rsid w:val="00753953"/>
    <w:rsid w:val="007549EB"/>
    <w:rsid w:val="00754A44"/>
    <w:rsid w:val="00757572"/>
    <w:rsid w:val="00757D71"/>
    <w:rsid w:val="00761E45"/>
    <w:rsid w:val="00763FA3"/>
    <w:rsid w:val="007663CB"/>
    <w:rsid w:val="00770788"/>
    <w:rsid w:val="00772597"/>
    <w:rsid w:val="0077479A"/>
    <w:rsid w:val="00775BD9"/>
    <w:rsid w:val="00781452"/>
    <w:rsid w:val="00784560"/>
    <w:rsid w:val="00785C3D"/>
    <w:rsid w:val="00791919"/>
    <w:rsid w:val="00792092"/>
    <w:rsid w:val="0079575E"/>
    <w:rsid w:val="007957CB"/>
    <w:rsid w:val="00795C17"/>
    <w:rsid w:val="007965F9"/>
    <w:rsid w:val="007968E7"/>
    <w:rsid w:val="00796E96"/>
    <w:rsid w:val="007A1D0E"/>
    <w:rsid w:val="007A2C46"/>
    <w:rsid w:val="007A3288"/>
    <w:rsid w:val="007A49F5"/>
    <w:rsid w:val="007A4A3F"/>
    <w:rsid w:val="007B59ED"/>
    <w:rsid w:val="007B62EE"/>
    <w:rsid w:val="007B65A3"/>
    <w:rsid w:val="007B777B"/>
    <w:rsid w:val="007B782E"/>
    <w:rsid w:val="007B789F"/>
    <w:rsid w:val="007C492B"/>
    <w:rsid w:val="007C7294"/>
    <w:rsid w:val="007D1E52"/>
    <w:rsid w:val="007D2FE0"/>
    <w:rsid w:val="007D6266"/>
    <w:rsid w:val="007D6BCB"/>
    <w:rsid w:val="007D70CB"/>
    <w:rsid w:val="007E12D1"/>
    <w:rsid w:val="007E16BF"/>
    <w:rsid w:val="007E2449"/>
    <w:rsid w:val="007E4138"/>
    <w:rsid w:val="007E699D"/>
    <w:rsid w:val="007E7101"/>
    <w:rsid w:val="007F0202"/>
    <w:rsid w:val="007F03D2"/>
    <w:rsid w:val="007F06A0"/>
    <w:rsid w:val="007F0985"/>
    <w:rsid w:val="007F15FE"/>
    <w:rsid w:val="007F5954"/>
    <w:rsid w:val="007F6078"/>
    <w:rsid w:val="007F629F"/>
    <w:rsid w:val="007F789A"/>
    <w:rsid w:val="00801629"/>
    <w:rsid w:val="0080342E"/>
    <w:rsid w:val="00805057"/>
    <w:rsid w:val="00805AA1"/>
    <w:rsid w:val="00807206"/>
    <w:rsid w:val="008077FB"/>
    <w:rsid w:val="00810A95"/>
    <w:rsid w:val="008110B9"/>
    <w:rsid w:val="00811505"/>
    <w:rsid w:val="00811876"/>
    <w:rsid w:val="008136A8"/>
    <w:rsid w:val="00814283"/>
    <w:rsid w:val="008148ED"/>
    <w:rsid w:val="0081544B"/>
    <w:rsid w:val="00815BFF"/>
    <w:rsid w:val="00815E02"/>
    <w:rsid w:val="00816355"/>
    <w:rsid w:val="00821B92"/>
    <w:rsid w:val="00821EC7"/>
    <w:rsid w:val="00822E52"/>
    <w:rsid w:val="00825788"/>
    <w:rsid w:val="00826191"/>
    <w:rsid w:val="00826286"/>
    <w:rsid w:val="00827D2F"/>
    <w:rsid w:val="00834BE9"/>
    <w:rsid w:val="008367FE"/>
    <w:rsid w:val="0083784D"/>
    <w:rsid w:val="00840E1D"/>
    <w:rsid w:val="00842ACE"/>
    <w:rsid w:val="00842D21"/>
    <w:rsid w:val="008434D2"/>
    <w:rsid w:val="00845360"/>
    <w:rsid w:val="00845BF4"/>
    <w:rsid w:val="00845DB9"/>
    <w:rsid w:val="00846B40"/>
    <w:rsid w:val="008514BC"/>
    <w:rsid w:val="0085369D"/>
    <w:rsid w:val="00853A57"/>
    <w:rsid w:val="00853CC8"/>
    <w:rsid w:val="00854F52"/>
    <w:rsid w:val="00855D19"/>
    <w:rsid w:val="00856061"/>
    <w:rsid w:val="00860224"/>
    <w:rsid w:val="008606F7"/>
    <w:rsid w:val="008625E8"/>
    <w:rsid w:val="0086469F"/>
    <w:rsid w:val="00864885"/>
    <w:rsid w:val="00867CA8"/>
    <w:rsid w:val="008705FD"/>
    <w:rsid w:val="008744B1"/>
    <w:rsid w:val="008766F7"/>
    <w:rsid w:val="00877037"/>
    <w:rsid w:val="008800E2"/>
    <w:rsid w:val="00880D4A"/>
    <w:rsid w:val="00884FF1"/>
    <w:rsid w:val="008857FA"/>
    <w:rsid w:val="00890052"/>
    <w:rsid w:val="00890BDF"/>
    <w:rsid w:val="00891D6B"/>
    <w:rsid w:val="00895068"/>
    <w:rsid w:val="00897829"/>
    <w:rsid w:val="008A3E2F"/>
    <w:rsid w:val="008A493A"/>
    <w:rsid w:val="008B132E"/>
    <w:rsid w:val="008B5488"/>
    <w:rsid w:val="008B54FE"/>
    <w:rsid w:val="008B6A94"/>
    <w:rsid w:val="008C0280"/>
    <w:rsid w:val="008C05C0"/>
    <w:rsid w:val="008C36AF"/>
    <w:rsid w:val="008C53AF"/>
    <w:rsid w:val="008C59F2"/>
    <w:rsid w:val="008C6349"/>
    <w:rsid w:val="008C6E62"/>
    <w:rsid w:val="008C7569"/>
    <w:rsid w:val="008D0ED4"/>
    <w:rsid w:val="008D1313"/>
    <w:rsid w:val="008D2816"/>
    <w:rsid w:val="008D4AD8"/>
    <w:rsid w:val="008D50ED"/>
    <w:rsid w:val="008D5572"/>
    <w:rsid w:val="008D5953"/>
    <w:rsid w:val="008E1A36"/>
    <w:rsid w:val="008E2296"/>
    <w:rsid w:val="008E38E6"/>
    <w:rsid w:val="008E48AE"/>
    <w:rsid w:val="008F0677"/>
    <w:rsid w:val="008F5B44"/>
    <w:rsid w:val="008F6069"/>
    <w:rsid w:val="008F7B42"/>
    <w:rsid w:val="00902E99"/>
    <w:rsid w:val="00903326"/>
    <w:rsid w:val="00903F28"/>
    <w:rsid w:val="009045AA"/>
    <w:rsid w:val="00904AE8"/>
    <w:rsid w:val="00905552"/>
    <w:rsid w:val="00911ED5"/>
    <w:rsid w:val="00915C51"/>
    <w:rsid w:val="00917854"/>
    <w:rsid w:val="00920650"/>
    <w:rsid w:val="009215A7"/>
    <w:rsid w:val="00922AB5"/>
    <w:rsid w:val="00922AD1"/>
    <w:rsid w:val="009254CA"/>
    <w:rsid w:val="009275D7"/>
    <w:rsid w:val="00935820"/>
    <w:rsid w:val="00936BDE"/>
    <w:rsid w:val="00936C15"/>
    <w:rsid w:val="0094128E"/>
    <w:rsid w:val="009414ED"/>
    <w:rsid w:val="009428FF"/>
    <w:rsid w:val="009437F9"/>
    <w:rsid w:val="00943EC5"/>
    <w:rsid w:val="009459E0"/>
    <w:rsid w:val="009517A6"/>
    <w:rsid w:val="0095682C"/>
    <w:rsid w:val="00957EFA"/>
    <w:rsid w:val="00960331"/>
    <w:rsid w:val="00962EE6"/>
    <w:rsid w:val="0096569F"/>
    <w:rsid w:val="0096612F"/>
    <w:rsid w:val="00970C89"/>
    <w:rsid w:val="00971C24"/>
    <w:rsid w:val="0097346C"/>
    <w:rsid w:val="00973895"/>
    <w:rsid w:val="00974403"/>
    <w:rsid w:val="009751D8"/>
    <w:rsid w:val="00975A23"/>
    <w:rsid w:val="0097600C"/>
    <w:rsid w:val="00983EAB"/>
    <w:rsid w:val="009859C8"/>
    <w:rsid w:val="00987163"/>
    <w:rsid w:val="00990E1C"/>
    <w:rsid w:val="00992B69"/>
    <w:rsid w:val="00993739"/>
    <w:rsid w:val="00994D29"/>
    <w:rsid w:val="009A0001"/>
    <w:rsid w:val="009A1AE5"/>
    <w:rsid w:val="009A2054"/>
    <w:rsid w:val="009A4F8B"/>
    <w:rsid w:val="009B0321"/>
    <w:rsid w:val="009B266E"/>
    <w:rsid w:val="009B37BC"/>
    <w:rsid w:val="009B47EA"/>
    <w:rsid w:val="009B560F"/>
    <w:rsid w:val="009B6565"/>
    <w:rsid w:val="009C2358"/>
    <w:rsid w:val="009C27F0"/>
    <w:rsid w:val="009C3114"/>
    <w:rsid w:val="009C5BCC"/>
    <w:rsid w:val="009D24D4"/>
    <w:rsid w:val="009D35D2"/>
    <w:rsid w:val="009D5102"/>
    <w:rsid w:val="009E0A6E"/>
    <w:rsid w:val="009E3451"/>
    <w:rsid w:val="009E485D"/>
    <w:rsid w:val="009E49D3"/>
    <w:rsid w:val="009F09FD"/>
    <w:rsid w:val="009F10A1"/>
    <w:rsid w:val="009F1650"/>
    <w:rsid w:val="009F4912"/>
    <w:rsid w:val="009F7412"/>
    <w:rsid w:val="00A01AC8"/>
    <w:rsid w:val="00A02EEF"/>
    <w:rsid w:val="00A03469"/>
    <w:rsid w:val="00A0356D"/>
    <w:rsid w:val="00A035B4"/>
    <w:rsid w:val="00A05025"/>
    <w:rsid w:val="00A0503E"/>
    <w:rsid w:val="00A07C01"/>
    <w:rsid w:val="00A1205F"/>
    <w:rsid w:val="00A124B9"/>
    <w:rsid w:val="00A16383"/>
    <w:rsid w:val="00A23016"/>
    <w:rsid w:val="00A24407"/>
    <w:rsid w:val="00A268E2"/>
    <w:rsid w:val="00A305FF"/>
    <w:rsid w:val="00A30FD2"/>
    <w:rsid w:val="00A32BAE"/>
    <w:rsid w:val="00A3352E"/>
    <w:rsid w:val="00A35BB0"/>
    <w:rsid w:val="00A35D11"/>
    <w:rsid w:val="00A369A4"/>
    <w:rsid w:val="00A402C2"/>
    <w:rsid w:val="00A404BD"/>
    <w:rsid w:val="00A40A5B"/>
    <w:rsid w:val="00A45909"/>
    <w:rsid w:val="00A4730C"/>
    <w:rsid w:val="00A47B82"/>
    <w:rsid w:val="00A5273A"/>
    <w:rsid w:val="00A53062"/>
    <w:rsid w:val="00A5347C"/>
    <w:rsid w:val="00A5426A"/>
    <w:rsid w:val="00A558D2"/>
    <w:rsid w:val="00A572D6"/>
    <w:rsid w:val="00A6366F"/>
    <w:rsid w:val="00A646D7"/>
    <w:rsid w:val="00A66950"/>
    <w:rsid w:val="00A67D3C"/>
    <w:rsid w:val="00A70746"/>
    <w:rsid w:val="00A72B69"/>
    <w:rsid w:val="00A736AF"/>
    <w:rsid w:val="00A74973"/>
    <w:rsid w:val="00A7497B"/>
    <w:rsid w:val="00A75B7E"/>
    <w:rsid w:val="00A761C3"/>
    <w:rsid w:val="00A768D0"/>
    <w:rsid w:val="00A80AED"/>
    <w:rsid w:val="00A812B3"/>
    <w:rsid w:val="00A83FDB"/>
    <w:rsid w:val="00A85E9B"/>
    <w:rsid w:val="00A87768"/>
    <w:rsid w:val="00A90A06"/>
    <w:rsid w:val="00A95110"/>
    <w:rsid w:val="00A966EE"/>
    <w:rsid w:val="00A968BA"/>
    <w:rsid w:val="00AA3F0A"/>
    <w:rsid w:val="00AA638D"/>
    <w:rsid w:val="00AB3248"/>
    <w:rsid w:val="00AB7267"/>
    <w:rsid w:val="00AB731C"/>
    <w:rsid w:val="00AC09B0"/>
    <w:rsid w:val="00AC103C"/>
    <w:rsid w:val="00AC71BC"/>
    <w:rsid w:val="00AC7958"/>
    <w:rsid w:val="00AD13C4"/>
    <w:rsid w:val="00AD6A1C"/>
    <w:rsid w:val="00AD7E13"/>
    <w:rsid w:val="00AE2378"/>
    <w:rsid w:val="00AE3F0A"/>
    <w:rsid w:val="00AE3FEA"/>
    <w:rsid w:val="00AE45DB"/>
    <w:rsid w:val="00AE554A"/>
    <w:rsid w:val="00AE6B55"/>
    <w:rsid w:val="00AE6C27"/>
    <w:rsid w:val="00AE746D"/>
    <w:rsid w:val="00AF035C"/>
    <w:rsid w:val="00AF1071"/>
    <w:rsid w:val="00AF1ED1"/>
    <w:rsid w:val="00AF7217"/>
    <w:rsid w:val="00B02F02"/>
    <w:rsid w:val="00B051B5"/>
    <w:rsid w:val="00B0779C"/>
    <w:rsid w:val="00B131D5"/>
    <w:rsid w:val="00B1681E"/>
    <w:rsid w:val="00B177AF"/>
    <w:rsid w:val="00B20501"/>
    <w:rsid w:val="00B206F6"/>
    <w:rsid w:val="00B20783"/>
    <w:rsid w:val="00B22E0C"/>
    <w:rsid w:val="00B23AF6"/>
    <w:rsid w:val="00B27550"/>
    <w:rsid w:val="00B30F9A"/>
    <w:rsid w:val="00B31649"/>
    <w:rsid w:val="00B369C0"/>
    <w:rsid w:val="00B37EDC"/>
    <w:rsid w:val="00B44DD5"/>
    <w:rsid w:val="00B45285"/>
    <w:rsid w:val="00B46F38"/>
    <w:rsid w:val="00B4717E"/>
    <w:rsid w:val="00B476D5"/>
    <w:rsid w:val="00B47C41"/>
    <w:rsid w:val="00B53BA6"/>
    <w:rsid w:val="00B57496"/>
    <w:rsid w:val="00B61A76"/>
    <w:rsid w:val="00B62AEC"/>
    <w:rsid w:val="00B662BA"/>
    <w:rsid w:val="00B666D0"/>
    <w:rsid w:val="00B674F7"/>
    <w:rsid w:val="00B67672"/>
    <w:rsid w:val="00B71661"/>
    <w:rsid w:val="00B72132"/>
    <w:rsid w:val="00B728AD"/>
    <w:rsid w:val="00B738AB"/>
    <w:rsid w:val="00B75046"/>
    <w:rsid w:val="00B7725C"/>
    <w:rsid w:val="00B7799B"/>
    <w:rsid w:val="00B77C41"/>
    <w:rsid w:val="00B81669"/>
    <w:rsid w:val="00B81A43"/>
    <w:rsid w:val="00B83DE4"/>
    <w:rsid w:val="00B84957"/>
    <w:rsid w:val="00B87109"/>
    <w:rsid w:val="00B907B5"/>
    <w:rsid w:val="00B97CA2"/>
    <w:rsid w:val="00BA171F"/>
    <w:rsid w:val="00BA257A"/>
    <w:rsid w:val="00BA5134"/>
    <w:rsid w:val="00BA515B"/>
    <w:rsid w:val="00BA6377"/>
    <w:rsid w:val="00BA6DA0"/>
    <w:rsid w:val="00BB22B3"/>
    <w:rsid w:val="00BB7981"/>
    <w:rsid w:val="00BC294E"/>
    <w:rsid w:val="00BC37CF"/>
    <w:rsid w:val="00BC5961"/>
    <w:rsid w:val="00BC5F53"/>
    <w:rsid w:val="00BC78C6"/>
    <w:rsid w:val="00BD19B7"/>
    <w:rsid w:val="00BD77F8"/>
    <w:rsid w:val="00BE0046"/>
    <w:rsid w:val="00BE0EC4"/>
    <w:rsid w:val="00BE1A1B"/>
    <w:rsid w:val="00BE6447"/>
    <w:rsid w:val="00BF275E"/>
    <w:rsid w:val="00BF2D09"/>
    <w:rsid w:val="00BF6CE6"/>
    <w:rsid w:val="00C00A04"/>
    <w:rsid w:val="00C01D97"/>
    <w:rsid w:val="00C021AB"/>
    <w:rsid w:val="00C05739"/>
    <w:rsid w:val="00C073AE"/>
    <w:rsid w:val="00C07F6B"/>
    <w:rsid w:val="00C14FFF"/>
    <w:rsid w:val="00C15176"/>
    <w:rsid w:val="00C161AE"/>
    <w:rsid w:val="00C20E34"/>
    <w:rsid w:val="00C22D35"/>
    <w:rsid w:val="00C2415E"/>
    <w:rsid w:val="00C2506B"/>
    <w:rsid w:val="00C26A63"/>
    <w:rsid w:val="00C2746D"/>
    <w:rsid w:val="00C27845"/>
    <w:rsid w:val="00C32B01"/>
    <w:rsid w:val="00C35470"/>
    <w:rsid w:val="00C37063"/>
    <w:rsid w:val="00C3710A"/>
    <w:rsid w:val="00C403F4"/>
    <w:rsid w:val="00C40AAB"/>
    <w:rsid w:val="00C40E89"/>
    <w:rsid w:val="00C42216"/>
    <w:rsid w:val="00C42F11"/>
    <w:rsid w:val="00C472A1"/>
    <w:rsid w:val="00C475D0"/>
    <w:rsid w:val="00C515E4"/>
    <w:rsid w:val="00C52947"/>
    <w:rsid w:val="00C52E2A"/>
    <w:rsid w:val="00C63BF0"/>
    <w:rsid w:val="00C64056"/>
    <w:rsid w:val="00C64B16"/>
    <w:rsid w:val="00C65A45"/>
    <w:rsid w:val="00C65BBF"/>
    <w:rsid w:val="00C669E0"/>
    <w:rsid w:val="00C67367"/>
    <w:rsid w:val="00C73237"/>
    <w:rsid w:val="00C74461"/>
    <w:rsid w:val="00C757C2"/>
    <w:rsid w:val="00C758CB"/>
    <w:rsid w:val="00C764D4"/>
    <w:rsid w:val="00C76D9F"/>
    <w:rsid w:val="00C8145B"/>
    <w:rsid w:val="00C81D92"/>
    <w:rsid w:val="00C84031"/>
    <w:rsid w:val="00C846FE"/>
    <w:rsid w:val="00C84A18"/>
    <w:rsid w:val="00C85F4A"/>
    <w:rsid w:val="00C87206"/>
    <w:rsid w:val="00C87434"/>
    <w:rsid w:val="00C906FF"/>
    <w:rsid w:val="00C90F72"/>
    <w:rsid w:val="00C92413"/>
    <w:rsid w:val="00C924A1"/>
    <w:rsid w:val="00C965D2"/>
    <w:rsid w:val="00C974D7"/>
    <w:rsid w:val="00CA0888"/>
    <w:rsid w:val="00CA0FAC"/>
    <w:rsid w:val="00CA1AA6"/>
    <w:rsid w:val="00CA3390"/>
    <w:rsid w:val="00CA5B11"/>
    <w:rsid w:val="00CA667A"/>
    <w:rsid w:val="00CC07EE"/>
    <w:rsid w:val="00CC13EF"/>
    <w:rsid w:val="00CC703D"/>
    <w:rsid w:val="00CC7B1C"/>
    <w:rsid w:val="00CD04D2"/>
    <w:rsid w:val="00CD25F9"/>
    <w:rsid w:val="00CD51ED"/>
    <w:rsid w:val="00CE086C"/>
    <w:rsid w:val="00CE167A"/>
    <w:rsid w:val="00CE52B1"/>
    <w:rsid w:val="00CE6DEA"/>
    <w:rsid w:val="00CE7033"/>
    <w:rsid w:val="00CE7ECB"/>
    <w:rsid w:val="00CF2076"/>
    <w:rsid w:val="00CF4C68"/>
    <w:rsid w:val="00CF7DA5"/>
    <w:rsid w:val="00D0559B"/>
    <w:rsid w:val="00D10614"/>
    <w:rsid w:val="00D1225B"/>
    <w:rsid w:val="00D126D1"/>
    <w:rsid w:val="00D13D7E"/>
    <w:rsid w:val="00D158E1"/>
    <w:rsid w:val="00D15BC4"/>
    <w:rsid w:val="00D164B3"/>
    <w:rsid w:val="00D17E7C"/>
    <w:rsid w:val="00D17EDA"/>
    <w:rsid w:val="00D20FE8"/>
    <w:rsid w:val="00D21D73"/>
    <w:rsid w:val="00D2315A"/>
    <w:rsid w:val="00D2664D"/>
    <w:rsid w:val="00D27119"/>
    <w:rsid w:val="00D27FFB"/>
    <w:rsid w:val="00D30FD5"/>
    <w:rsid w:val="00D33A6B"/>
    <w:rsid w:val="00D35429"/>
    <w:rsid w:val="00D356F8"/>
    <w:rsid w:val="00D3677B"/>
    <w:rsid w:val="00D36A87"/>
    <w:rsid w:val="00D37E42"/>
    <w:rsid w:val="00D41CBE"/>
    <w:rsid w:val="00D425F2"/>
    <w:rsid w:val="00D42752"/>
    <w:rsid w:val="00D4342A"/>
    <w:rsid w:val="00D43C4F"/>
    <w:rsid w:val="00D44068"/>
    <w:rsid w:val="00D443F5"/>
    <w:rsid w:val="00D44FB3"/>
    <w:rsid w:val="00D50FF0"/>
    <w:rsid w:val="00D51F35"/>
    <w:rsid w:val="00D53747"/>
    <w:rsid w:val="00D5651D"/>
    <w:rsid w:val="00D5725C"/>
    <w:rsid w:val="00D66537"/>
    <w:rsid w:val="00D73264"/>
    <w:rsid w:val="00D74235"/>
    <w:rsid w:val="00D86A36"/>
    <w:rsid w:val="00D90CAD"/>
    <w:rsid w:val="00D92BBC"/>
    <w:rsid w:val="00D93647"/>
    <w:rsid w:val="00D93D0D"/>
    <w:rsid w:val="00D94031"/>
    <w:rsid w:val="00DA1FA3"/>
    <w:rsid w:val="00DA4C96"/>
    <w:rsid w:val="00DA589B"/>
    <w:rsid w:val="00DA616A"/>
    <w:rsid w:val="00DA6B60"/>
    <w:rsid w:val="00DA734F"/>
    <w:rsid w:val="00DA7C36"/>
    <w:rsid w:val="00DB2D09"/>
    <w:rsid w:val="00DB4D70"/>
    <w:rsid w:val="00DB7C91"/>
    <w:rsid w:val="00DC06D9"/>
    <w:rsid w:val="00DC0E09"/>
    <w:rsid w:val="00DC25FD"/>
    <w:rsid w:val="00DC2D03"/>
    <w:rsid w:val="00DC477C"/>
    <w:rsid w:val="00DC71C6"/>
    <w:rsid w:val="00DC7A9D"/>
    <w:rsid w:val="00DC7E09"/>
    <w:rsid w:val="00DD1729"/>
    <w:rsid w:val="00DD24BD"/>
    <w:rsid w:val="00DD3317"/>
    <w:rsid w:val="00DD3B24"/>
    <w:rsid w:val="00DD5481"/>
    <w:rsid w:val="00DD5CBA"/>
    <w:rsid w:val="00DD77F0"/>
    <w:rsid w:val="00DD7948"/>
    <w:rsid w:val="00DD7C30"/>
    <w:rsid w:val="00DE2AA5"/>
    <w:rsid w:val="00DE2C6E"/>
    <w:rsid w:val="00DE3AB8"/>
    <w:rsid w:val="00DE54BB"/>
    <w:rsid w:val="00DF0E47"/>
    <w:rsid w:val="00DF4C94"/>
    <w:rsid w:val="00DF4DBC"/>
    <w:rsid w:val="00DF7924"/>
    <w:rsid w:val="00DF7B52"/>
    <w:rsid w:val="00E0126F"/>
    <w:rsid w:val="00E03DE6"/>
    <w:rsid w:val="00E04F66"/>
    <w:rsid w:val="00E066B3"/>
    <w:rsid w:val="00E067BC"/>
    <w:rsid w:val="00E07DBB"/>
    <w:rsid w:val="00E10AFE"/>
    <w:rsid w:val="00E12A36"/>
    <w:rsid w:val="00E13A68"/>
    <w:rsid w:val="00E149EA"/>
    <w:rsid w:val="00E20689"/>
    <w:rsid w:val="00E256EF"/>
    <w:rsid w:val="00E31B64"/>
    <w:rsid w:val="00E35FF9"/>
    <w:rsid w:val="00E40BDD"/>
    <w:rsid w:val="00E41A8C"/>
    <w:rsid w:val="00E44C05"/>
    <w:rsid w:val="00E44ECF"/>
    <w:rsid w:val="00E45C31"/>
    <w:rsid w:val="00E461C7"/>
    <w:rsid w:val="00E46241"/>
    <w:rsid w:val="00E472EE"/>
    <w:rsid w:val="00E50878"/>
    <w:rsid w:val="00E5122E"/>
    <w:rsid w:val="00E53AED"/>
    <w:rsid w:val="00E53D46"/>
    <w:rsid w:val="00E54EE6"/>
    <w:rsid w:val="00E5518E"/>
    <w:rsid w:val="00E5704B"/>
    <w:rsid w:val="00E62C6A"/>
    <w:rsid w:val="00E7234C"/>
    <w:rsid w:val="00E72900"/>
    <w:rsid w:val="00E73686"/>
    <w:rsid w:val="00E73FA1"/>
    <w:rsid w:val="00E7409E"/>
    <w:rsid w:val="00E75090"/>
    <w:rsid w:val="00E76D0E"/>
    <w:rsid w:val="00E771A7"/>
    <w:rsid w:val="00E77277"/>
    <w:rsid w:val="00E772EC"/>
    <w:rsid w:val="00E80427"/>
    <w:rsid w:val="00E8060D"/>
    <w:rsid w:val="00E85295"/>
    <w:rsid w:val="00E95B52"/>
    <w:rsid w:val="00E97CB5"/>
    <w:rsid w:val="00EA0417"/>
    <w:rsid w:val="00EA5002"/>
    <w:rsid w:val="00EA6872"/>
    <w:rsid w:val="00EA6B47"/>
    <w:rsid w:val="00EB1195"/>
    <w:rsid w:val="00EB223C"/>
    <w:rsid w:val="00EB440D"/>
    <w:rsid w:val="00EB4B55"/>
    <w:rsid w:val="00EB4C88"/>
    <w:rsid w:val="00EB6372"/>
    <w:rsid w:val="00EB796B"/>
    <w:rsid w:val="00EB7D94"/>
    <w:rsid w:val="00EC15F0"/>
    <w:rsid w:val="00EC1633"/>
    <w:rsid w:val="00EC37E3"/>
    <w:rsid w:val="00EC5299"/>
    <w:rsid w:val="00EC69E8"/>
    <w:rsid w:val="00EC72C4"/>
    <w:rsid w:val="00ED1ECF"/>
    <w:rsid w:val="00ED3649"/>
    <w:rsid w:val="00ED5206"/>
    <w:rsid w:val="00EE0481"/>
    <w:rsid w:val="00EE0DEE"/>
    <w:rsid w:val="00EE0E5E"/>
    <w:rsid w:val="00EE1144"/>
    <w:rsid w:val="00EE22B6"/>
    <w:rsid w:val="00EE2DE9"/>
    <w:rsid w:val="00EE5329"/>
    <w:rsid w:val="00EE71EB"/>
    <w:rsid w:val="00EE76C1"/>
    <w:rsid w:val="00EF3B76"/>
    <w:rsid w:val="00EF3E03"/>
    <w:rsid w:val="00EF5941"/>
    <w:rsid w:val="00F003DD"/>
    <w:rsid w:val="00F01E2F"/>
    <w:rsid w:val="00F06F3B"/>
    <w:rsid w:val="00F10B45"/>
    <w:rsid w:val="00F126B3"/>
    <w:rsid w:val="00F13B66"/>
    <w:rsid w:val="00F13D85"/>
    <w:rsid w:val="00F15173"/>
    <w:rsid w:val="00F1683D"/>
    <w:rsid w:val="00F1727B"/>
    <w:rsid w:val="00F21FE6"/>
    <w:rsid w:val="00F24600"/>
    <w:rsid w:val="00F25CC7"/>
    <w:rsid w:val="00F30A97"/>
    <w:rsid w:val="00F3295D"/>
    <w:rsid w:val="00F33FCC"/>
    <w:rsid w:val="00F37F03"/>
    <w:rsid w:val="00F42EB9"/>
    <w:rsid w:val="00F44BF9"/>
    <w:rsid w:val="00F454BD"/>
    <w:rsid w:val="00F47F8C"/>
    <w:rsid w:val="00F51DB0"/>
    <w:rsid w:val="00F523E6"/>
    <w:rsid w:val="00F52B98"/>
    <w:rsid w:val="00F53E27"/>
    <w:rsid w:val="00F5718C"/>
    <w:rsid w:val="00F601D5"/>
    <w:rsid w:val="00F609E1"/>
    <w:rsid w:val="00F61204"/>
    <w:rsid w:val="00F6338C"/>
    <w:rsid w:val="00F64933"/>
    <w:rsid w:val="00F6601F"/>
    <w:rsid w:val="00F70D36"/>
    <w:rsid w:val="00F73BC9"/>
    <w:rsid w:val="00F73DAF"/>
    <w:rsid w:val="00F809C7"/>
    <w:rsid w:val="00F80B91"/>
    <w:rsid w:val="00F84656"/>
    <w:rsid w:val="00F8486E"/>
    <w:rsid w:val="00F859DC"/>
    <w:rsid w:val="00F8709D"/>
    <w:rsid w:val="00F87EED"/>
    <w:rsid w:val="00F940CE"/>
    <w:rsid w:val="00F943BB"/>
    <w:rsid w:val="00F94E17"/>
    <w:rsid w:val="00F95003"/>
    <w:rsid w:val="00FA30C8"/>
    <w:rsid w:val="00FA4212"/>
    <w:rsid w:val="00FA70C3"/>
    <w:rsid w:val="00FA7AD1"/>
    <w:rsid w:val="00FB4899"/>
    <w:rsid w:val="00FB4EB0"/>
    <w:rsid w:val="00FB60C5"/>
    <w:rsid w:val="00FC434A"/>
    <w:rsid w:val="00FC4776"/>
    <w:rsid w:val="00FD2964"/>
    <w:rsid w:val="00FD2D23"/>
    <w:rsid w:val="00FD3989"/>
    <w:rsid w:val="00FD4FA6"/>
    <w:rsid w:val="00FD5B62"/>
    <w:rsid w:val="00FD5FC9"/>
    <w:rsid w:val="00FD604B"/>
    <w:rsid w:val="00FD668E"/>
    <w:rsid w:val="00FD66EE"/>
    <w:rsid w:val="00FE211E"/>
    <w:rsid w:val="00FE3538"/>
    <w:rsid w:val="00FE3F0C"/>
    <w:rsid w:val="00FE5730"/>
    <w:rsid w:val="00FE59C4"/>
    <w:rsid w:val="00FF0E6D"/>
    <w:rsid w:val="00FF4262"/>
    <w:rsid w:val="00FF55EC"/>
    <w:rsid w:val="00FF5782"/>
    <w:rsid w:val="00FF5C58"/>
    <w:rsid w:val="00FF6DB1"/>
    <w:rsid w:val="09398B10"/>
    <w:rsid w:val="36D39C15"/>
    <w:rsid w:val="436264B2"/>
    <w:rsid w:val="5BDA7D79"/>
    <w:rsid w:val="6AD09A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24E03"/>
  <w15:docId w15:val="{581177AB-F0D0-47BB-9AC8-1E40AC6E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64933"/>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16369D"/>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autoRedefine/>
    <w:uiPriority w:val="3"/>
    <w:qFormat/>
    <w:rsid w:val="00093EF5"/>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autoRedefine/>
    <w:uiPriority w:val="5"/>
    <w:qFormat/>
    <w:rsid w:val="00884FF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autoRedefine/>
    <w:uiPriority w:val="6"/>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8"/>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093EF5"/>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16369D"/>
    <w:rPr>
      <w:rFonts w:ascii="Arial" w:hAnsi="Arial" w:cs="Arial"/>
      <w:b/>
      <w:bCs/>
      <w:color w:val="005EB8"/>
      <w:kern w:val="28"/>
      <w:sz w:val="80"/>
      <w:szCs w:val="32"/>
      <w14:ligatures w14:val="standardContextual"/>
    </w:rPr>
  </w:style>
  <w:style w:type="paragraph" w:styleId="ListParagraph">
    <w:name w:val="List Paragraph"/>
    <w:aliases w:val="Num.,Dot pt,No Spacing1,List Paragraph Char Char Char,Indicator Text,List Paragraph1,Numbered Para 1,List Paragraph12,Bullet Points,MAIN CONTENT,Bullet 1,Colorful List - Accent 11,F5 List Paragraph,Evidence on Demand bullet points,Bullets"/>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884FF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10"/>
    <w:qFormat/>
    <w:rsid w:val="00565C95"/>
    <w:pPr>
      <w:framePr w:hSpace="180" w:wrap="around" w:vAnchor="text" w:hAnchor="margin" w:yAlign="bottom"/>
      <w:autoSpaceDE w:val="0"/>
      <w:autoSpaceDN w:val="0"/>
      <w:adjustRightInd w:val="0"/>
      <w:spacing w:after="50"/>
      <w:ind w:firstLine="0"/>
      <w:textboxTightWrap w:val="none"/>
    </w:pPr>
    <w:rPr>
      <w:rFonts w:cs="Arial"/>
      <w:color w:val="00B050"/>
      <w:szCs w:val="22"/>
      <w:lang w:eastAsia="en-GB"/>
    </w:rPr>
  </w:style>
  <w:style w:type="character" w:customStyle="1" w:styleId="BulletlistChar">
    <w:name w:val="Bullet list Char"/>
    <w:basedOn w:val="DefaultParagraphFont"/>
    <w:link w:val="Bulletlist"/>
    <w:uiPriority w:val="10"/>
    <w:rsid w:val="00565C95"/>
    <w:rPr>
      <w:rFonts w:ascii="Arial" w:hAnsi="Arial" w:cs="Arial"/>
      <w:color w:val="00B050"/>
      <w:sz w:val="24"/>
      <w:szCs w:val="22"/>
      <w:lang w:eastAsia="en-GB"/>
    </w:rPr>
  </w:style>
  <w:style w:type="paragraph" w:customStyle="1" w:styleId="Footnote-hanging">
    <w:name w:val="Footnote - hanging"/>
    <w:basedOn w:val="Bulletlist"/>
    <w:link w:val="Footnote-hangingChar"/>
    <w:uiPriority w:val="12"/>
    <w:semiHidden/>
    <w:rsid w:val="00C15176"/>
    <w:pPr>
      <w:framePr w:wrap="around"/>
      <w:tabs>
        <w:tab w:val="left" w:pos="284"/>
      </w:tabs>
      <w:spacing w:after="60" w:line="276" w:lineRule="auto"/>
      <w:ind w:left="284" w:hanging="284"/>
    </w:pPr>
    <w:rPr>
      <w:color w:val="1E6DFF" w:themeColor="accent1" w:themeTint="99"/>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b w:val="0"/>
      <w:bCs w:val="0"/>
      <w:i w:val="0"/>
      <w:iCs w:val="0"/>
      <w:color w:val="000000"/>
      <w:sz w:val="24"/>
      <w:szCs w:val="18"/>
      <w:lang w:eastAsia="en-GB"/>
    </w:rPr>
  </w:style>
  <w:style w:type="character" w:customStyle="1" w:styleId="Heading4Char">
    <w:name w:val="Heading 4 Char"/>
    <w:basedOn w:val="DefaultParagraphFont"/>
    <w:link w:val="Heading4"/>
    <w:uiPriority w:val="6"/>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E57B6"/>
    <w:pPr>
      <w:pBdr>
        <w:bottom w:val="single" w:sz="4" w:space="4" w:color="D5DDE3" w:themeColor="accent6" w:themeTint="33"/>
      </w:pBdr>
      <w:tabs>
        <w:tab w:val="right" w:pos="9854"/>
      </w:tabs>
      <w:spacing w:before="120" w:after="12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autoRedefine/>
    <w:uiPriority w:val="9"/>
    <w:qFormat/>
    <w:rsid w:val="00F64933"/>
    <w:pPr>
      <w:numPr>
        <w:numId w:val="2"/>
      </w:numPr>
      <w:spacing w:after="50"/>
      <w:ind w:left="992" w:hanging="425"/>
    </w:pPr>
  </w:style>
  <w:style w:type="character" w:customStyle="1" w:styleId="NumberedlistChar">
    <w:name w:val="Numbered list Char"/>
    <w:basedOn w:val="DefaultParagraphFont"/>
    <w:link w:val="Numberedlist"/>
    <w:uiPriority w:val="9"/>
    <w:rsid w:val="00F64933"/>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A70746"/>
    <w:pPr>
      <w:tabs>
        <w:tab w:val="right" w:pos="9854"/>
      </w:tabs>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2"/>
    <w:qFormat/>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aliases w:val="Num. Char,Dot pt Char,No Spacing1 Char,List Paragraph Char Char Char Char,Indicator Text Char,List Paragraph1 Char,Numbered Para 1 Char,List Paragraph12 Char,Bullet Points Char,MAIN CONTENT Char,Bullet 1 Char,F5 List Paragraph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5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3"/>
      </w:numPr>
    </w:pPr>
  </w:style>
  <w:style w:type="paragraph" w:customStyle="1" w:styleId="h3numbered">
    <w:name w:val="h3 numbered"/>
    <w:basedOn w:val="Heading3"/>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8D50ED"/>
    <w:pPr>
      <w:spacing w:before="120" w:after="120" w:line="240" w:lineRule="auto"/>
    </w:pPr>
    <w:rPr>
      <w:iCs/>
      <w:color w:val="005EB8" w:themeColor="text2"/>
      <w:sz w:val="20"/>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customStyle="1" w:styleId="CommentTextChar">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paragraph" w:styleId="ListBullet">
    <w:name w:val="List Bullet"/>
    <w:basedOn w:val="BodyText"/>
    <w:uiPriority w:val="14"/>
    <w:qFormat/>
    <w:rsid w:val="008800E2"/>
    <w:pPr>
      <w:numPr>
        <w:numId w:val="4"/>
      </w:numPr>
      <w:tabs>
        <w:tab w:val="clear" w:pos="2716"/>
        <w:tab w:val="num" w:pos="360"/>
      </w:tabs>
      <w:spacing w:after="50"/>
      <w:ind w:left="0" w:firstLine="0"/>
      <w:textboxTightWrap w:val="none"/>
    </w:pPr>
    <w:rPr>
      <w:rFonts w:eastAsiaTheme="minorHAnsi" w:cstheme="minorBidi"/>
      <w:color w:val="231F20"/>
    </w:rPr>
  </w:style>
  <w:style w:type="paragraph" w:styleId="ListBullet2">
    <w:name w:val="List Bullet 2"/>
    <w:basedOn w:val="BodyText"/>
    <w:uiPriority w:val="14"/>
    <w:qFormat/>
    <w:rsid w:val="008800E2"/>
    <w:pPr>
      <w:numPr>
        <w:ilvl w:val="1"/>
        <w:numId w:val="4"/>
      </w:numPr>
      <w:tabs>
        <w:tab w:val="clear" w:pos="2574"/>
        <w:tab w:val="num" w:pos="360"/>
      </w:tabs>
      <w:spacing w:after="50"/>
      <w:ind w:left="0" w:firstLine="0"/>
      <w:textboxTightWrap w:val="none"/>
    </w:pPr>
    <w:rPr>
      <w:rFonts w:eastAsiaTheme="minorHAnsi" w:cstheme="minorBidi"/>
      <w:color w:val="231F20"/>
    </w:rPr>
  </w:style>
  <w:style w:type="paragraph" w:styleId="ListBullet3">
    <w:name w:val="List Bullet 3"/>
    <w:basedOn w:val="BodyText"/>
    <w:uiPriority w:val="99"/>
    <w:semiHidden/>
    <w:qFormat/>
    <w:rsid w:val="008800E2"/>
    <w:pPr>
      <w:numPr>
        <w:ilvl w:val="2"/>
        <w:numId w:val="4"/>
      </w:numPr>
      <w:tabs>
        <w:tab w:val="clear" w:pos="2512"/>
        <w:tab w:val="num" w:pos="360"/>
      </w:tabs>
      <w:spacing w:after="280"/>
      <w:ind w:left="0" w:firstLine="0"/>
      <w:contextualSpacing/>
      <w:textboxTightWrap w:val="none"/>
    </w:pPr>
    <w:rPr>
      <w:rFonts w:eastAsiaTheme="minorHAnsi" w:cstheme="minorBidi"/>
      <w:color w:val="231F20"/>
    </w:rPr>
  </w:style>
  <w:style w:type="paragraph" w:styleId="ListBullet4">
    <w:name w:val="List Bullet 4"/>
    <w:basedOn w:val="BodyText"/>
    <w:uiPriority w:val="99"/>
    <w:semiHidden/>
    <w:rsid w:val="008800E2"/>
    <w:pPr>
      <w:numPr>
        <w:ilvl w:val="3"/>
        <w:numId w:val="4"/>
      </w:numPr>
      <w:tabs>
        <w:tab w:val="clear" w:pos="2869"/>
        <w:tab w:val="num" w:pos="360"/>
      </w:tabs>
      <w:spacing w:after="280"/>
      <w:ind w:left="0" w:firstLine="0"/>
      <w:contextualSpacing/>
      <w:textboxTightWrap w:val="none"/>
    </w:pPr>
    <w:rPr>
      <w:rFonts w:eastAsiaTheme="minorHAnsi" w:cstheme="minorBidi"/>
      <w:color w:val="231F20"/>
    </w:rPr>
  </w:style>
  <w:style w:type="paragraph" w:styleId="ListBullet5">
    <w:name w:val="List Bullet 5"/>
    <w:basedOn w:val="BodyText"/>
    <w:uiPriority w:val="99"/>
    <w:semiHidden/>
    <w:rsid w:val="008800E2"/>
    <w:pPr>
      <w:numPr>
        <w:ilvl w:val="4"/>
        <w:numId w:val="4"/>
      </w:numPr>
      <w:tabs>
        <w:tab w:val="clear" w:pos="3226"/>
        <w:tab w:val="num" w:pos="360"/>
      </w:tabs>
      <w:spacing w:after="280"/>
      <w:ind w:left="0" w:firstLine="0"/>
      <w:contextualSpacing/>
      <w:textboxTightWrap w:val="none"/>
    </w:pPr>
    <w:rPr>
      <w:rFonts w:eastAsiaTheme="minorHAnsi" w:cstheme="minorBidi"/>
      <w:color w:val="231F20"/>
    </w:rPr>
  </w:style>
  <w:style w:type="numbering" w:customStyle="1" w:styleId="NHSBullets">
    <w:name w:val="NHS Bullets"/>
    <w:basedOn w:val="NoList"/>
    <w:uiPriority w:val="99"/>
    <w:rsid w:val="008800E2"/>
    <w:pPr>
      <w:numPr>
        <w:numId w:val="5"/>
      </w:numPr>
    </w:pPr>
  </w:style>
  <w:style w:type="paragraph" w:styleId="BodyText">
    <w:name w:val="Body Text"/>
    <w:basedOn w:val="Normal"/>
    <w:link w:val="BodyTextChar"/>
    <w:uiPriority w:val="99"/>
    <w:semiHidden/>
    <w:unhideWhenUsed/>
    <w:rsid w:val="008800E2"/>
    <w:pPr>
      <w:spacing w:after="120"/>
    </w:pPr>
  </w:style>
  <w:style w:type="character" w:customStyle="1" w:styleId="BodyTextChar">
    <w:name w:val="Body Text Char"/>
    <w:basedOn w:val="DefaultParagraphFont"/>
    <w:link w:val="BodyText"/>
    <w:uiPriority w:val="99"/>
    <w:semiHidden/>
    <w:rsid w:val="008800E2"/>
    <w:rPr>
      <w:rFonts w:ascii="Arial" w:hAnsi="Arial"/>
      <w:color w:val="000000"/>
      <w:sz w:val="24"/>
      <w:szCs w:val="24"/>
    </w:rPr>
  </w:style>
  <w:style w:type="paragraph" w:styleId="Revision">
    <w:name w:val="Revision"/>
    <w:hidden/>
    <w:uiPriority w:val="99"/>
    <w:semiHidden/>
    <w:rsid w:val="00827D2F"/>
    <w:rPr>
      <w:rFonts w:ascii="Arial" w:hAnsi="Arial"/>
      <w:color w:val="000000"/>
      <w:sz w:val="24"/>
      <w:szCs w:val="24"/>
    </w:rPr>
  </w:style>
  <w:style w:type="character" w:styleId="FollowedHyperlink">
    <w:name w:val="FollowedHyperlink"/>
    <w:basedOn w:val="DefaultParagraphFont"/>
    <w:uiPriority w:val="99"/>
    <w:semiHidden/>
    <w:unhideWhenUsed/>
    <w:rsid w:val="003B60D0"/>
    <w:rPr>
      <w:color w:val="003087" w:themeColor="followedHyperlink"/>
      <w:u w:val="single"/>
    </w:rPr>
  </w:style>
  <w:style w:type="character" w:styleId="UnresolvedMention">
    <w:name w:val="Unresolved Mention"/>
    <w:basedOn w:val="DefaultParagraphFont"/>
    <w:uiPriority w:val="99"/>
    <w:semiHidden/>
    <w:unhideWhenUsed/>
    <w:rsid w:val="0096612F"/>
    <w:rPr>
      <w:color w:val="605E5C"/>
      <w:shd w:val="clear" w:color="auto" w:fill="E1DFDD"/>
    </w:rPr>
  </w:style>
  <w:style w:type="character" w:customStyle="1" w:styleId="cf01">
    <w:name w:val="cf01"/>
    <w:basedOn w:val="DefaultParagraphFont"/>
    <w:rsid w:val="0051722D"/>
    <w:rPr>
      <w:rFonts w:ascii="Segoe UI" w:hAnsi="Segoe UI" w:cs="Segoe UI" w:hint="default"/>
      <w:sz w:val="18"/>
      <w:szCs w:val="18"/>
    </w:rPr>
  </w:style>
  <w:style w:type="paragraph" w:styleId="PlainText">
    <w:name w:val="Plain Text"/>
    <w:basedOn w:val="Normal"/>
    <w:link w:val="PlainTextChar"/>
    <w:uiPriority w:val="99"/>
    <w:unhideWhenUsed/>
    <w:rsid w:val="0049494F"/>
    <w:pPr>
      <w:spacing w:after="0" w:line="240" w:lineRule="auto"/>
      <w:textboxTightWrap w:val="none"/>
    </w:pPr>
    <w:rPr>
      <w:rFonts w:ascii="Calibri" w:eastAsia="Calibri" w:hAnsi="Calibri"/>
      <w:color w:val="auto"/>
      <w:sz w:val="22"/>
      <w:szCs w:val="21"/>
    </w:rPr>
  </w:style>
  <w:style w:type="character" w:customStyle="1" w:styleId="PlainTextChar">
    <w:name w:val="Plain Text Char"/>
    <w:basedOn w:val="DefaultParagraphFont"/>
    <w:link w:val="PlainText"/>
    <w:uiPriority w:val="99"/>
    <w:rsid w:val="0049494F"/>
    <w:rPr>
      <w:rFonts w:ascii="Calibri" w:eastAsia="Calibri" w:hAnsi="Calibri"/>
      <w:sz w:val="22"/>
      <w:szCs w:val="21"/>
    </w:rPr>
  </w:style>
  <w:style w:type="paragraph" w:customStyle="1" w:styleId="xmsonormal">
    <w:name w:val="x_msonormal"/>
    <w:basedOn w:val="Normal"/>
    <w:rsid w:val="00364E2C"/>
    <w:pPr>
      <w:spacing w:after="0" w:line="240" w:lineRule="auto"/>
      <w:textboxTightWrap w:val="none"/>
    </w:pPr>
    <w:rPr>
      <w:rFonts w:ascii="Calibri" w:eastAsiaTheme="minorHAnsi" w:hAnsi="Calibri" w:cs="Calibri"/>
      <w:color w:val="auto"/>
      <w:sz w:val="22"/>
      <w:szCs w:val="22"/>
      <w:lang w:eastAsia="en-GB"/>
    </w:rPr>
  </w:style>
  <w:style w:type="paragraph" w:styleId="NoSpacing">
    <w:name w:val="No Spacing"/>
    <w:uiPriority w:val="1"/>
    <w:qFormat/>
    <w:rsid w:val="00B83DE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096">
      <w:bodyDiv w:val="1"/>
      <w:marLeft w:val="0"/>
      <w:marRight w:val="0"/>
      <w:marTop w:val="0"/>
      <w:marBottom w:val="0"/>
      <w:divBdr>
        <w:top w:val="none" w:sz="0" w:space="0" w:color="auto"/>
        <w:left w:val="none" w:sz="0" w:space="0" w:color="auto"/>
        <w:bottom w:val="none" w:sz="0" w:space="0" w:color="auto"/>
        <w:right w:val="none" w:sz="0" w:space="0" w:color="auto"/>
      </w:divBdr>
    </w:div>
    <w:div w:id="696854740">
      <w:bodyDiv w:val="1"/>
      <w:marLeft w:val="0"/>
      <w:marRight w:val="0"/>
      <w:marTop w:val="0"/>
      <w:marBottom w:val="0"/>
      <w:divBdr>
        <w:top w:val="none" w:sz="0" w:space="0" w:color="auto"/>
        <w:left w:val="none" w:sz="0" w:space="0" w:color="auto"/>
        <w:bottom w:val="none" w:sz="0" w:space="0" w:color="auto"/>
        <w:right w:val="none" w:sz="0" w:space="0" w:color="auto"/>
      </w:divBdr>
    </w:div>
    <w:div w:id="1132556642">
      <w:bodyDiv w:val="1"/>
      <w:marLeft w:val="0"/>
      <w:marRight w:val="0"/>
      <w:marTop w:val="0"/>
      <w:marBottom w:val="0"/>
      <w:divBdr>
        <w:top w:val="none" w:sz="0" w:space="0" w:color="auto"/>
        <w:left w:val="none" w:sz="0" w:space="0" w:color="auto"/>
        <w:bottom w:val="none" w:sz="0" w:space="0" w:color="auto"/>
        <w:right w:val="none" w:sz="0" w:space="0" w:color="auto"/>
      </w:divBdr>
    </w:div>
    <w:div w:id="1273895976">
      <w:bodyDiv w:val="1"/>
      <w:marLeft w:val="0"/>
      <w:marRight w:val="0"/>
      <w:marTop w:val="0"/>
      <w:marBottom w:val="0"/>
      <w:divBdr>
        <w:top w:val="none" w:sz="0" w:space="0" w:color="auto"/>
        <w:left w:val="none" w:sz="0" w:space="0" w:color="auto"/>
        <w:bottom w:val="none" w:sz="0" w:space="0" w:color="auto"/>
        <w:right w:val="none" w:sz="0" w:space="0" w:color="auto"/>
      </w:divBdr>
    </w:div>
    <w:div w:id="1376810180">
      <w:bodyDiv w:val="1"/>
      <w:marLeft w:val="0"/>
      <w:marRight w:val="0"/>
      <w:marTop w:val="0"/>
      <w:marBottom w:val="0"/>
      <w:divBdr>
        <w:top w:val="none" w:sz="0" w:space="0" w:color="auto"/>
        <w:left w:val="none" w:sz="0" w:space="0" w:color="auto"/>
        <w:bottom w:val="none" w:sz="0" w:space="0" w:color="auto"/>
        <w:right w:val="none" w:sz="0" w:space="0" w:color="auto"/>
      </w:divBdr>
    </w:div>
    <w:div w:id="199159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sglos.nhs.uk/wp-content/uploads/2026/03/Population-Health-and-Strategic-Commissioning-Plan_2026-203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glos.nhs.uk/wp-content/uploads/2026/03/INA_Final.pdf"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www.nhsglos.nhs.uk%2Fwp-content%2Fuploads%2F2025%2F06%2FAI-13.1-Gloucs-ICS-Infrastructure-Strategy-Summary-Version-May-2025-Final.pdf&amp;data=05%7C02%7Ccath.leech%40nhs.net%7Cbc46156410b94fce004608dda410d7f1%7C37c354b285b047f5b22207b48d774ee3%7C0%7C0%7C638847114434243749%7CUnknown%7CTWFpbGZsb3d8eyJFbXB0eU1hcGkiOnRydWUsIlYiOiIwLjAuMDAwMCIsIlAiOiJXaW4zMiIsIkFOIjoiTWFpbCIsIldUIjoyfQ%3D%3D%7C0%7C%7C%7C&amp;sdata=J6WJGnVS1g8mABGN9BSy%2BkrUzI9x1Rr9Z8I54TNZy5w%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Bishop\NHS%20England\Capital%20and%20Cash%20-%20Capital%20and%20Cash\TFMS%20Returns\2024-2025\4.%20ICB%20Joint%20Capital%20Resource%20Plans\Version%204%20in%20headed%20stationary\24-25%20Joint%20Capital%20plan%20guidance%20templ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1F581DAB9B4D6F8A3C88035651830D"/>
        <w:category>
          <w:name w:val="General"/>
          <w:gallery w:val="placeholder"/>
        </w:category>
        <w:types>
          <w:type w:val="bbPlcHdr"/>
        </w:types>
        <w:behaviors>
          <w:behavior w:val="content"/>
        </w:behaviors>
        <w:guid w:val="{2C0EE157-320A-4DF7-89DD-C047F85DE8FF}"/>
      </w:docPartPr>
      <w:docPartBody>
        <w:p w:rsidR="007F06A0" w:rsidRDefault="007F06A0">
          <w:pPr>
            <w:pStyle w:val="711F581DAB9B4D6F8A3C88035651830D"/>
          </w:pPr>
          <w:r w:rsidRPr="009823A6">
            <w:rPr>
              <w:rStyle w:val="PlaceholderText"/>
            </w:rPr>
            <w:t>Choose an item.</w:t>
          </w:r>
        </w:p>
      </w:docPartBody>
    </w:docPart>
    <w:docPart>
      <w:docPartPr>
        <w:name w:val="9981FB31D47A449D8762B966F18ED5C9"/>
        <w:category>
          <w:name w:val="General"/>
          <w:gallery w:val="placeholder"/>
        </w:category>
        <w:types>
          <w:type w:val="bbPlcHdr"/>
        </w:types>
        <w:behaviors>
          <w:behavior w:val="content"/>
        </w:behaviors>
        <w:guid w:val="{A0661C8D-BB68-44C0-87DF-A7363FF1B133}"/>
      </w:docPartPr>
      <w:docPartBody>
        <w:p w:rsidR="007F06A0" w:rsidRDefault="007F06A0">
          <w:pPr>
            <w:pStyle w:val="9981FB31D47A449D8762B966F18ED5C9"/>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A0"/>
    <w:rsid w:val="000345E8"/>
    <w:rsid w:val="00044051"/>
    <w:rsid w:val="00046668"/>
    <w:rsid w:val="00046C3B"/>
    <w:rsid w:val="00076C59"/>
    <w:rsid w:val="000F097A"/>
    <w:rsid w:val="0015499B"/>
    <w:rsid w:val="001601F5"/>
    <w:rsid w:val="001910AB"/>
    <w:rsid w:val="002A1AD2"/>
    <w:rsid w:val="002B50C2"/>
    <w:rsid w:val="002C2663"/>
    <w:rsid w:val="00302E8F"/>
    <w:rsid w:val="0031124C"/>
    <w:rsid w:val="003847F3"/>
    <w:rsid w:val="00392513"/>
    <w:rsid w:val="00392F02"/>
    <w:rsid w:val="003A210B"/>
    <w:rsid w:val="003F6F9D"/>
    <w:rsid w:val="00412174"/>
    <w:rsid w:val="00461FD2"/>
    <w:rsid w:val="00466855"/>
    <w:rsid w:val="00483C57"/>
    <w:rsid w:val="004D3B7C"/>
    <w:rsid w:val="00504573"/>
    <w:rsid w:val="005059D5"/>
    <w:rsid w:val="00525E0C"/>
    <w:rsid w:val="005867C0"/>
    <w:rsid w:val="005B1D2A"/>
    <w:rsid w:val="005C26E6"/>
    <w:rsid w:val="00605C6F"/>
    <w:rsid w:val="00650AC5"/>
    <w:rsid w:val="00670FCC"/>
    <w:rsid w:val="00743309"/>
    <w:rsid w:val="00754A44"/>
    <w:rsid w:val="00757572"/>
    <w:rsid w:val="007B59ED"/>
    <w:rsid w:val="007C5304"/>
    <w:rsid w:val="007E12D1"/>
    <w:rsid w:val="007F06A0"/>
    <w:rsid w:val="007F15FE"/>
    <w:rsid w:val="008B0ED8"/>
    <w:rsid w:val="009146CE"/>
    <w:rsid w:val="009165D7"/>
    <w:rsid w:val="00922AB5"/>
    <w:rsid w:val="00972696"/>
    <w:rsid w:val="00A1257F"/>
    <w:rsid w:val="00A1553C"/>
    <w:rsid w:val="00A45337"/>
    <w:rsid w:val="00A6366F"/>
    <w:rsid w:val="00A65E92"/>
    <w:rsid w:val="00A966EE"/>
    <w:rsid w:val="00B03DD9"/>
    <w:rsid w:val="00B32B4D"/>
    <w:rsid w:val="00B404F5"/>
    <w:rsid w:val="00BB7981"/>
    <w:rsid w:val="00BD7535"/>
    <w:rsid w:val="00C305F4"/>
    <w:rsid w:val="00C30D01"/>
    <w:rsid w:val="00C84A18"/>
    <w:rsid w:val="00CF51A3"/>
    <w:rsid w:val="00D24E78"/>
    <w:rsid w:val="00D3677B"/>
    <w:rsid w:val="00D40915"/>
    <w:rsid w:val="00D44A7D"/>
    <w:rsid w:val="00D851AB"/>
    <w:rsid w:val="00D912CA"/>
    <w:rsid w:val="00DB1BCF"/>
    <w:rsid w:val="00DC5A04"/>
    <w:rsid w:val="00E03DE6"/>
    <w:rsid w:val="00EB18B9"/>
    <w:rsid w:val="00EE0DEE"/>
    <w:rsid w:val="00EE6112"/>
    <w:rsid w:val="00EF3B76"/>
    <w:rsid w:val="00F4035B"/>
    <w:rsid w:val="00F74A95"/>
    <w:rsid w:val="00FC43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11F581DAB9B4D6F8A3C88035651830D">
    <w:name w:val="711F581DAB9B4D6F8A3C88035651830D"/>
  </w:style>
  <w:style w:type="paragraph" w:customStyle="1" w:styleId="9981FB31D47A449D8762B966F18ED5C9">
    <w:name w:val="9981FB31D47A449D8762B966F18ED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d990e3ca-50cc-48f4-8428-a543daa01cc5" xsi:nil="true"/>
    <_ip_UnifiedCompliancePolicyProperties xmlns="d990e3ca-50cc-48f4-8428-a543daa01cc5" xsi:nil="true"/>
    <lcf76f155ced4ddcb4097134ff3c332f xmlns="0efeabcb-02ff-41ca-982e-bc31610d3a04">
      <Terms xmlns="http://schemas.microsoft.com/office/infopath/2007/PartnerControls"/>
    </lcf76f155ced4ddcb4097134ff3c332f>
    <TaxCatchAll xmlns="d990e3ca-50cc-48f4-8428-a543daa01c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0" ma:contentTypeDescription="Create a new document." ma:contentTypeScope="" ma:versionID="2ae54ac3debf8a36c9daa8e4a1dc78f3">
  <xsd:schema xmlns:xsd="http://www.w3.org/2001/XMLSchema" xmlns:xs="http://www.w3.org/2001/XMLSchema" xmlns:p="http://schemas.microsoft.com/office/2006/metadata/properties" xmlns:ns2="d990e3ca-50cc-48f4-8428-a543daa01cc5" xmlns:ns3="0efeabcb-02ff-41ca-982e-bc31610d3a04" targetNamespace="http://schemas.microsoft.com/office/2006/metadata/properties" ma:root="true" ma:fieldsID="56a65b62c73a5a0b5050fc9162697eca" ns2:_="" ns3:_="">
    <xsd:import namespace="d990e3ca-50cc-48f4-8428-a543daa01cc5"/>
    <xsd:import namespace="0efeabcb-02ff-41ca-982e-bc31610d3a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a2b0c1-aa49-439e-94af-f2225e338c8d}"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d990e3ca-50cc-48f4-8428-a543daa01cc5"/>
    <ds:schemaRef ds:uri="0efeabcb-02ff-41ca-982e-bc31610d3a04"/>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7D88BDBB-6CA0-4911-981B-BB3016B4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0e3ca-50cc-48f4-8428-a543daa01cc5"/>
    <ds:schemaRef ds:uri="0efeabcb-02ff-41ca-982e-bc31610d3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24-25 Joint Capital plan guidance template</Template>
  <TotalTime>1</TotalTime>
  <Pages>12</Pages>
  <Words>4099</Words>
  <Characters>21317</Characters>
  <Application>Microsoft Office Word</Application>
  <DocSecurity>4</DocSecurity>
  <Lines>1332</Lines>
  <Paragraphs>1105</Paragraphs>
  <ScaleCrop>false</ScaleCrop>
  <HeadingPairs>
    <vt:vector size="2" baseType="variant">
      <vt:variant>
        <vt:lpstr>Title</vt:lpstr>
      </vt:variant>
      <vt:variant>
        <vt:i4>1</vt:i4>
      </vt:variant>
    </vt:vector>
  </HeadingPairs>
  <TitlesOfParts>
    <vt:vector size="1" baseType="lpstr">
      <vt:lpstr>Guidance on developing joint capital resource use plans 2025/26</vt:lpstr>
    </vt:vector>
  </TitlesOfParts>
  <Company>Health &amp; Social Care Information Centre</Company>
  <LinksUpToDate>false</LinksUpToDate>
  <CharactersWithSpaces>24311</CharactersWithSpaces>
  <SharedDoc>false</SharedDoc>
  <HLinks>
    <vt:vector size="126" baseType="variant">
      <vt:variant>
        <vt:i4>6684684</vt:i4>
      </vt:variant>
      <vt:variant>
        <vt:i4>111</vt:i4>
      </vt:variant>
      <vt:variant>
        <vt:i4>0</vt:i4>
      </vt:variant>
      <vt:variant>
        <vt:i4>5</vt:i4>
      </vt:variant>
      <vt:variant>
        <vt:lpwstr>mailto:england.capitalcashqueries@nhs.net</vt:lpwstr>
      </vt:variant>
      <vt:variant>
        <vt:lpwstr/>
      </vt:variant>
      <vt:variant>
        <vt:i4>6684684</vt:i4>
      </vt:variant>
      <vt:variant>
        <vt:i4>108</vt:i4>
      </vt:variant>
      <vt:variant>
        <vt:i4>0</vt:i4>
      </vt:variant>
      <vt:variant>
        <vt:i4>5</vt:i4>
      </vt:variant>
      <vt:variant>
        <vt:lpwstr>mailto:england.capitalcashqueries@nhs.net</vt:lpwstr>
      </vt:variant>
      <vt:variant>
        <vt:lpwstr/>
      </vt:variant>
      <vt:variant>
        <vt:i4>6684684</vt:i4>
      </vt:variant>
      <vt:variant>
        <vt:i4>105</vt:i4>
      </vt:variant>
      <vt:variant>
        <vt:i4>0</vt:i4>
      </vt:variant>
      <vt:variant>
        <vt:i4>5</vt:i4>
      </vt:variant>
      <vt:variant>
        <vt:lpwstr>mailto:england.capitalcashqueries@nhs.net</vt:lpwstr>
      </vt:variant>
      <vt:variant>
        <vt:lpwstr/>
      </vt:variant>
      <vt:variant>
        <vt:i4>4653067</vt:i4>
      </vt:variant>
      <vt:variant>
        <vt:i4>102</vt:i4>
      </vt:variant>
      <vt:variant>
        <vt:i4>0</vt:i4>
      </vt:variant>
      <vt:variant>
        <vt:i4>5</vt:i4>
      </vt:variant>
      <vt:variant>
        <vt:lpwstr>https://future.nhs.uk/nationalplanning/grouphome</vt:lpwstr>
      </vt:variant>
      <vt:variant>
        <vt:lpwstr/>
      </vt:variant>
      <vt:variant>
        <vt:i4>1310798</vt:i4>
      </vt:variant>
      <vt:variant>
        <vt:i4>99</vt:i4>
      </vt:variant>
      <vt:variant>
        <vt:i4>0</vt:i4>
      </vt:variant>
      <vt:variant>
        <vt:i4>5</vt:i4>
      </vt:variant>
      <vt:variant>
        <vt:lpwstr>https://www.legislation.gov.uk/ukpga/2022/31/section/25/enacted</vt:lpwstr>
      </vt:variant>
      <vt:variant>
        <vt:lpwstr>p00328</vt:lpwstr>
      </vt:variant>
      <vt:variant>
        <vt:i4>1769522</vt:i4>
      </vt:variant>
      <vt:variant>
        <vt:i4>92</vt:i4>
      </vt:variant>
      <vt:variant>
        <vt:i4>0</vt:i4>
      </vt:variant>
      <vt:variant>
        <vt:i4>5</vt:i4>
      </vt:variant>
      <vt:variant>
        <vt:lpwstr/>
      </vt:variant>
      <vt:variant>
        <vt:lpwstr>_Toc153811106</vt:lpwstr>
      </vt:variant>
      <vt:variant>
        <vt:i4>1769522</vt:i4>
      </vt:variant>
      <vt:variant>
        <vt:i4>86</vt:i4>
      </vt:variant>
      <vt:variant>
        <vt:i4>0</vt:i4>
      </vt:variant>
      <vt:variant>
        <vt:i4>5</vt:i4>
      </vt:variant>
      <vt:variant>
        <vt:lpwstr/>
      </vt:variant>
      <vt:variant>
        <vt:lpwstr>_Toc153811105</vt:lpwstr>
      </vt:variant>
      <vt:variant>
        <vt:i4>1769522</vt:i4>
      </vt:variant>
      <vt:variant>
        <vt:i4>80</vt:i4>
      </vt:variant>
      <vt:variant>
        <vt:i4>0</vt:i4>
      </vt:variant>
      <vt:variant>
        <vt:i4>5</vt:i4>
      </vt:variant>
      <vt:variant>
        <vt:lpwstr/>
      </vt:variant>
      <vt:variant>
        <vt:lpwstr>_Toc153811104</vt:lpwstr>
      </vt:variant>
      <vt:variant>
        <vt:i4>1769522</vt:i4>
      </vt:variant>
      <vt:variant>
        <vt:i4>74</vt:i4>
      </vt:variant>
      <vt:variant>
        <vt:i4>0</vt:i4>
      </vt:variant>
      <vt:variant>
        <vt:i4>5</vt:i4>
      </vt:variant>
      <vt:variant>
        <vt:lpwstr/>
      </vt:variant>
      <vt:variant>
        <vt:lpwstr>_Toc153811103</vt:lpwstr>
      </vt:variant>
      <vt:variant>
        <vt:i4>1769522</vt:i4>
      </vt:variant>
      <vt:variant>
        <vt:i4>68</vt:i4>
      </vt:variant>
      <vt:variant>
        <vt:i4>0</vt:i4>
      </vt:variant>
      <vt:variant>
        <vt:i4>5</vt:i4>
      </vt:variant>
      <vt:variant>
        <vt:lpwstr/>
      </vt:variant>
      <vt:variant>
        <vt:lpwstr>_Toc153811102</vt:lpwstr>
      </vt:variant>
      <vt:variant>
        <vt:i4>1769522</vt:i4>
      </vt:variant>
      <vt:variant>
        <vt:i4>62</vt:i4>
      </vt:variant>
      <vt:variant>
        <vt:i4>0</vt:i4>
      </vt:variant>
      <vt:variant>
        <vt:i4>5</vt:i4>
      </vt:variant>
      <vt:variant>
        <vt:lpwstr/>
      </vt:variant>
      <vt:variant>
        <vt:lpwstr>_Toc153811101</vt:lpwstr>
      </vt:variant>
      <vt:variant>
        <vt:i4>1769522</vt:i4>
      </vt:variant>
      <vt:variant>
        <vt:i4>56</vt:i4>
      </vt:variant>
      <vt:variant>
        <vt:i4>0</vt:i4>
      </vt:variant>
      <vt:variant>
        <vt:i4>5</vt:i4>
      </vt:variant>
      <vt:variant>
        <vt:lpwstr/>
      </vt:variant>
      <vt:variant>
        <vt:lpwstr>_Toc153811100</vt:lpwstr>
      </vt:variant>
      <vt:variant>
        <vt:i4>1179699</vt:i4>
      </vt:variant>
      <vt:variant>
        <vt:i4>50</vt:i4>
      </vt:variant>
      <vt:variant>
        <vt:i4>0</vt:i4>
      </vt:variant>
      <vt:variant>
        <vt:i4>5</vt:i4>
      </vt:variant>
      <vt:variant>
        <vt:lpwstr/>
      </vt:variant>
      <vt:variant>
        <vt:lpwstr>_Toc153811099</vt:lpwstr>
      </vt:variant>
      <vt:variant>
        <vt:i4>1179699</vt:i4>
      </vt:variant>
      <vt:variant>
        <vt:i4>44</vt:i4>
      </vt:variant>
      <vt:variant>
        <vt:i4>0</vt:i4>
      </vt:variant>
      <vt:variant>
        <vt:i4>5</vt:i4>
      </vt:variant>
      <vt:variant>
        <vt:lpwstr/>
      </vt:variant>
      <vt:variant>
        <vt:lpwstr>_Toc153811098</vt:lpwstr>
      </vt:variant>
      <vt:variant>
        <vt:i4>1179699</vt:i4>
      </vt:variant>
      <vt:variant>
        <vt:i4>38</vt:i4>
      </vt:variant>
      <vt:variant>
        <vt:i4>0</vt:i4>
      </vt:variant>
      <vt:variant>
        <vt:i4>5</vt:i4>
      </vt:variant>
      <vt:variant>
        <vt:lpwstr/>
      </vt:variant>
      <vt:variant>
        <vt:lpwstr>_Toc153811097</vt:lpwstr>
      </vt:variant>
      <vt:variant>
        <vt:i4>1179699</vt:i4>
      </vt:variant>
      <vt:variant>
        <vt:i4>32</vt:i4>
      </vt:variant>
      <vt:variant>
        <vt:i4>0</vt:i4>
      </vt:variant>
      <vt:variant>
        <vt:i4>5</vt:i4>
      </vt:variant>
      <vt:variant>
        <vt:lpwstr/>
      </vt:variant>
      <vt:variant>
        <vt:lpwstr>_Toc153811096</vt:lpwstr>
      </vt:variant>
      <vt:variant>
        <vt:i4>1179699</vt:i4>
      </vt:variant>
      <vt:variant>
        <vt:i4>26</vt:i4>
      </vt:variant>
      <vt:variant>
        <vt:i4>0</vt:i4>
      </vt:variant>
      <vt:variant>
        <vt:i4>5</vt:i4>
      </vt:variant>
      <vt:variant>
        <vt:lpwstr/>
      </vt:variant>
      <vt:variant>
        <vt:lpwstr>_Toc153811095</vt:lpwstr>
      </vt:variant>
      <vt:variant>
        <vt:i4>1179699</vt:i4>
      </vt:variant>
      <vt:variant>
        <vt:i4>20</vt:i4>
      </vt:variant>
      <vt:variant>
        <vt:i4>0</vt:i4>
      </vt:variant>
      <vt:variant>
        <vt:i4>5</vt:i4>
      </vt:variant>
      <vt:variant>
        <vt:lpwstr/>
      </vt:variant>
      <vt:variant>
        <vt:lpwstr>_Toc153811094</vt:lpwstr>
      </vt:variant>
      <vt:variant>
        <vt:i4>1179699</vt:i4>
      </vt:variant>
      <vt:variant>
        <vt:i4>14</vt:i4>
      </vt:variant>
      <vt:variant>
        <vt:i4>0</vt:i4>
      </vt:variant>
      <vt:variant>
        <vt:i4>5</vt:i4>
      </vt:variant>
      <vt:variant>
        <vt:lpwstr/>
      </vt:variant>
      <vt:variant>
        <vt:lpwstr>_Toc153811093</vt:lpwstr>
      </vt:variant>
      <vt:variant>
        <vt:i4>1179699</vt:i4>
      </vt:variant>
      <vt:variant>
        <vt:i4>8</vt:i4>
      </vt:variant>
      <vt:variant>
        <vt:i4>0</vt:i4>
      </vt:variant>
      <vt:variant>
        <vt:i4>5</vt:i4>
      </vt:variant>
      <vt:variant>
        <vt:lpwstr/>
      </vt:variant>
      <vt:variant>
        <vt:lpwstr>_Toc153811092</vt:lpwstr>
      </vt:variant>
      <vt:variant>
        <vt:i4>1179699</vt:i4>
      </vt:variant>
      <vt:variant>
        <vt:i4>2</vt:i4>
      </vt:variant>
      <vt:variant>
        <vt:i4>0</vt:i4>
      </vt:variant>
      <vt:variant>
        <vt:i4>5</vt:i4>
      </vt:variant>
      <vt:variant>
        <vt:lpwstr/>
      </vt:variant>
      <vt:variant>
        <vt:lpwstr>_Toc153811091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developing joint capital resource use plans 2025/26</dc:title>
  <dc:subject/>
  <dc:creator>Rachel Bishop</dc:creator>
  <cp:keywords/>
  <cp:lastModifiedBy>RAHMAN, Shofiqur (NHS GLOUCESTERSHIRE ICB - 11M)</cp:lastModifiedBy>
  <cp:revision>2</cp:revision>
  <cp:lastPrinted>2016-07-14T17:27:00Z</cp:lastPrinted>
  <dcterms:created xsi:type="dcterms:W3CDTF">2026-06-12T15:44:00Z</dcterms:created>
  <dcterms:modified xsi:type="dcterms:W3CDTF">2026-06-12T15:44:00Z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0x0101003ECE5F1A1922AB4CAF3423D693F1AF40</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Order">
    <vt:r8>9101700</vt:r8>
  </property>
  <property fmtid="{D5CDD505-2E9C-101B-9397-08002B2CF9AE}" pid="9" name="_ExtendedDescription">
    <vt:lpwstr/>
  </property>
</Properties>
</file>