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616F" w14:textId="1D8D4A3C" w:rsidR="00606DF2" w:rsidRPr="00C11B36" w:rsidRDefault="005F3D51" w:rsidP="00606DF2">
      <w:pPr>
        <w:pStyle w:val="Heading1"/>
        <w:spacing w:before="80"/>
        <w:rPr>
          <w:rFonts w:asciiTheme="minorHAnsi" w:hAnsiTheme="minorHAnsi" w:cstheme="minorHAnsi"/>
        </w:rPr>
      </w:pPr>
      <w:r w:rsidRPr="00C11B36">
        <w:rPr>
          <w:rFonts w:asciiTheme="minorHAnsi" w:hAnsiTheme="minorHAnsi" w:cstheme="minorHAnsi"/>
        </w:rPr>
        <w:t xml:space="preserve">BNSSG ICB Board </w:t>
      </w:r>
      <w:r w:rsidR="00EB0D0F" w:rsidRPr="00C11B36">
        <w:rPr>
          <w:rFonts w:asciiTheme="minorHAnsi" w:hAnsiTheme="minorHAnsi" w:cstheme="minorHAnsi"/>
        </w:rPr>
        <w:t>Meeting</w:t>
      </w:r>
    </w:p>
    <w:p w14:paraId="48ECD08A" w14:textId="15A6D3F4" w:rsidR="00606DF2" w:rsidRPr="004D58C9" w:rsidRDefault="00606DF2" w:rsidP="00606DF2">
      <w:pPr>
        <w:rPr>
          <w:rFonts w:asciiTheme="minorHAnsi" w:hAnsiTheme="minorHAnsi" w:cstheme="minorHAnsi"/>
          <w:b/>
          <w:color w:val="1C1F63" w:themeColor="accent3"/>
        </w:rPr>
      </w:pPr>
      <w:r w:rsidRPr="004D58C9">
        <w:rPr>
          <w:rFonts w:asciiTheme="minorHAnsi" w:hAnsiTheme="minorHAnsi" w:cstheme="minorHAnsi"/>
          <w:b/>
          <w:color w:val="1C1F63" w:themeColor="accent3"/>
        </w:rPr>
        <w:t xml:space="preserve">Date: </w:t>
      </w:r>
      <w:r w:rsidR="00084E92">
        <w:rPr>
          <w:rFonts w:asciiTheme="minorHAnsi" w:hAnsiTheme="minorHAnsi" w:cstheme="minorHAnsi"/>
          <w:b/>
          <w:color w:val="1C1F63" w:themeColor="accent3"/>
        </w:rPr>
        <w:t xml:space="preserve">Wednesday </w:t>
      </w:r>
      <w:r w:rsidR="00D53BCE">
        <w:rPr>
          <w:rFonts w:asciiTheme="minorHAnsi" w:hAnsiTheme="minorHAnsi" w:cstheme="minorHAnsi"/>
          <w:b/>
          <w:color w:val="1C1F63" w:themeColor="accent3"/>
        </w:rPr>
        <w:t>29</w:t>
      </w:r>
      <w:r w:rsidR="00D53BCE" w:rsidRPr="00D53BCE">
        <w:rPr>
          <w:rFonts w:asciiTheme="minorHAnsi" w:hAnsiTheme="minorHAnsi" w:cstheme="minorHAnsi"/>
          <w:b/>
          <w:color w:val="1C1F63" w:themeColor="accent3"/>
          <w:vertAlign w:val="superscript"/>
        </w:rPr>
        <w:t>th</w:t>
      </w:r>
      <w:r w:rsidR="00D53BCE">
        <w:rPr>
          <w:rFonts w:asciiTheme="minorHAnsi" w:hAnsiTheme="minorHAnsi" w:cstheme="minorHAnsi"/>
          <w:b/>
          <w:color w:val="1C1F63" w:themeColor="accent3"/>
        </w:rPr>
        <w:t xml:space="preserve"> July</w:t>
      </w:r>
      <w:r w:rsidR="005E707A">
        <w:rPr>
          <w:rFonts w:asciiTheme="minorHAnsi" w:hAnsiTheme="minorHAnsi" w:cstheme="minorHAnsi"/>
          <w:b/>
          <w:color w:val="1C1F63" w:themeColor="accent3"/>
        </w:rPr>
        <w:t xml:space="preserve"> 2026</w:t>
      </w:r>
      <w:r w:rsidR="0035523B" w:rsidRPr="004D58C9">
        <w:rPr>
          <w:rFonts w:asciiTheme="minorHAnsi" w:hAnsiTheme="minorHAnsi" w:cstheme="minorHAnsi"/>
          <w:b/>
          <w:color w:val="1C1F63" w:themeColor="accent3"/>
        </w:rPr>
        <w:t xml:space="preserve"> </w:t>
      </w:r>
    </w:p>
    <w:p w14:paraId="40092995" w14:textId="6F8C91EE" w:rsidR="00606DF2" w:rsidRPr="004D58C9" w:rsidRDefault="00606DF2" w:rsidP="00606DF2">
      <w:pPr>
        <w:rPr>
          <w:rFonts w:asciiTheme="minorHAnsi" w:hAnsiTheme="minorHAnsi" w:cstheme="minorHAnsi"/>
          <w:b/>
          <w:color w:val="1C1F63" w:themeColor="accent3"/>
        </w:rPr>
      </w:pPr>
      <w:r w:rsidRPr="004D58C9">
        <w:rPr>
          <w:rFonts w:asciiTheme="minorHAnsi" w:hAnsiTheme="minorHAnsi" w:cstheme="minorHAnsi"/>
          <w:b/>
          <w:color w:val="1C1F63" w:themeColor="accent3"/>
        </w:rPr>
        <w:t>Time:</w:t>
      </w:r>
      <w:r w:rsidR="001C03C3">
        <w:rPr>
          <w:rFonts w:asciiTheme="minorHAnsi" w:hAnsiTheme="minorHAnsi" w:cstheme="minorHAnsi"/>
          <w:b/>
          <w:color w:val="1C1F63" w:themeColor="accent3"/>
        </w:rPr>
        <w:t xml:space="preserve"> </w:t>
      </w:r>
      <w:r w:rsidR="00C11B36">
        <w:rPr>
          <w:rFonts w:asciiTheme="minorHAnsi" w:hAnsiTheme="minorHAnsi" w:cstheme="minorHAnsi"/>
          <w:b/>
          <w:color w:val="1C1F63" w:themeColor="accent3"/>
        </w:rPr>
        <w:t>1</w:t>
      </w:r>
      <w:r w:rsidR="002734BE">
        <w:rPr>
          <w:rFonts w:asciiTheme="minorHAnsi" w:hAnsiTheme="minorHAnsi" w:cstheme="minorHAnsi"/>
          <w:b/>
          <w:color w:val="1C1F63" w:themeColor="accent3"/>
        </w:rPr>
        <w:t>1</w:t>
      </w:r>
      <w:r w:rsidR="00C11B36">
        <w:rPr>
          <w:rFonts w:asciiTheme="minorHAnsi" w:hAnsiTheme="minorHAnsi" w:cstheme="minorHAnsi"/>
          <w:b/>
          <w:color w:val="1C1F63" w:themeColor="accent3"/>
        </w:rPr>
        <w:t>:</w:t>
      </w:r>
      <w:r w:rsidR="002734BE">
        <w:rPr>
          <w:rFonts w:asciiTheme="minorHAnsi" w:hAnsiTheme="minorHAnsi" w:cstheme="minorHAnsi"/>
          <w:b/>
          <w:color w:val="1C1F63" w:themeColor="accent3"/>
        </w:rPr>
        <w:t>0</w:t>
      </w:r>
      <w:r w:rsidR="00C11B36">
        <w:rPr>
          <w:rFonts w:asciiTheme="minorHAnsi" w:hAnsiTheme="minorHAnsi" w:cstheme="minorHAnsi"/>
          <w:b/>
          <w:color w:val="1C1F63" w:themeColor="accent3"/>
        </w:rPr>
        <w:t xml:space="preserve">0 – </w:t>
      </w:r>
      <w:r w:rsidR="002734BE">
        <w:rPr>
          <w:rFonts w:asciiTheme="minorHAnsi" w:hAnsiTheme="minorHAnsi" w:cstheme="minorHAnsi"/>
          <w:b/>
          <w:color w:val="1C1F63" w:themeColor="accent3"/>
        </w:rPr>
        <w:t>12</w:t>
      </w:r>
      <w:r w:rsidR="00C11B36">
        <w:rPr>
          <w:rFonts w:asciiTheme="minorHAnsi" w:hAnsiTheme="minorHAnsi" w:cstheme="minorHAnsi"/>
          <w:b/>
          <w:color w:val="1C1F63" w:themeColor="accent3"/>
        </w:rPr>
        <w:t>:</w:t>
      </w:r>
      <w:r w:rsidR="002734BE">
        <w:rPr>
          <w:rFonts w:asciiTheme="minorHAnsi" w:hAnsiTheme="minorHAnsi" w:cstheme="minorHAnsi"/>
          <w:b/>
          <w:color w:val="1C1F63" w:themeColor="accent3"/>
        </w:rPr>
        <w:t>0</w:t>
      </w:r>
      <w:r w:rsidR="00C11B36">
        <w:rPr>
          <w:rFonts w:asciiTheme="minorHAnsi" w:hAnsiTheme="minorHAnsi" w:cstheme="minorHAnsi"/>
          <w:b/>
          <w:color w:val="1C1F63" w:themeColor="accent3"/>
        </w:rPr>
        <w:t>5</w:t>
      </w:r>
    </w:p>
    <w:p w14:paraId="3A8CFEBD" w14:textId="4E79C286" w:rsidR="00606DF2" w:rsidRPr="004D58C9" w:rsidRDefault="00606DF2" w:rsidP="00606DF2">
      <w:pPr>
        <w:pBdr>
          <w:bottom w:val="single" w:sz="18" w:space="17" w:color="auto"/>
        </w:pBdr>
        <w:spacing w:after="380"/>
        <w:rPr>
          <w:rFonts w:asciiTheme="minorHAnsi" w:hAnsiTheme="minorHAnsi" w:cstheme="minorHAnsi"/>
          <w:sz w:val="28"/>
        </w:rPr>
      </w:pPr>
      <w:r w:rsidRPr="004D58C9">
        <w:rPr>
          <w:rFonts w:asciiTheme="minorHAnsi" w:hAnsiTheme="minorHAnsi" w:cstheme="minorHAnsi"/>
          <w:b/>
          <w:color w:val="1C1F63" w:themeColor="accent3"/>
        </w:rPr>
        <w:t>Location:</w:t>
      </w:r>
      <w:r w:rsidR="00620AB0" w:rsidRPr="004D58C9">
        <w:rPr>
          <w:rFonts w:asciiTheme="minorHAnsi" w:hAnsiTheme="minorHAnsi" w:cstheme="minorHAnsi"/>
          <w:b/>
          <w:color w:val="1C1F63" w:themeColor="accent3"/>
        </w:rPr>
        <w:t xml:space="preserve"> </w:t>
      </w:r>
      <w:r w:rsidR="005E707A" w:rsidRPr="005E707A">
        <w:rPr>
          <w:b/>
          <w:color w:val="1C1F63" w:themeColor="accent3"/>
        </w:rPr>
        <w:t>St Michael's Centre, North Rd, Stoke Gifford, Bristol BS34 8PD</w:t>
      </w:r>
    </w:p>
    <w:tbl>
      <w:tblPr>
        <w:tblStyle w:val="TableGrid"/>
        <w:tblW w:w="9776" w:type="dxa"/>
        <w:tblLook w:val="04A0" w:firstRow="1" w:lastRow="0" w:firstColumn="1" w:lastColumn="0" w:noHBand="0" w:noVBand="1"/>
      </w:tblPr>
      <w:tblGrid>
        <w:gridCol w:w="2965"/>
        <w:gridCol w:w="393"/>
        <w:gridCol w:w="6418"/>
      </w:tblGrid>
      <w:tr w:rsidR="00606DF2" w:rsidRPr="004D58C9" w14:paraId="79ABC3B2" w14:textId="77777777" w:rsidTr="70C2815B">
        <w:trPr>
          <w:trHeight w:val="438"/>
        </w:trPr>
        <w:tc>
          <w:tcPr>
            <w:tcW w:w="2965" w:type="dxa"/>
            <w:tcBorders>
              <w:top w:val="single" w:sz="4" w:space="0" w:color="auto"/>
              <w:left w:val="single" w:sz="4" w:space="0" w:color="auto"/>
              <w:bottom w:val="single" w:sz="4" w:space="0" w:color="auto"/>
              <w:right w:val="single" w:sz="4" w:space="0" w:color="auto"/>
            </w:tcBorders>
            <w:shd w:val="clear" w:color="auto" w:fill="DBE5F1"/>
            <w:hideMark/>
          </w:tcPr>
          <w:p w14:paraId="4E1568AF" w14:textId="1A59641F" w:rsidR="00606DF2" w:rsidRPr="004D58C9" w:rsidRDefault="00606DF2">
            <w:pPr>
              <w:rPr>
                <w:rStyle w:val="Emphasis"/>
                <w:rFonts w:asciiTheme="minorHAnsi" w:hAnsiTheme="minorHAnsi" w:cstheme="minorHAnsi"/>
              </w:rPr>
            </w:pPr>
            <w:r w:rsidRPr="004D58C9">
              <w:rPr>
                <w:rStyle w:val="Emphasis"/>
                <w:rFonts w:asciiTheme="minorHAnsi" w:hAnsiTheme="minorHAnsi" w:cstheme="minorHAnsi"/>
              </w:rPr>
              <w:t>Agenda Number:</w:t>
            </w:r>
          </w:p>
        </w:tc>
        <w:tc>
          <w:tcPr>
            <w:tcW w:w="6811" w:type="dxa"/>
            <w:gridSpan w:val="2"/>
            <w:tcBorders>
              <w:top w:val="single" w:sz="4" w:space="0" w:color="auto"/>
              <w:left w:val="single" w:sz="4" w:space="0" w:color="auto"/>
              <w:bottom w:val="single" w:sz="4" w:space="0" w:color="auto"/>
              <w:right w:val="single" w:sz="4" w:space="0" w:color="auto"/>
            </w:tcBorders>
          </w:tcPr>
          <w:p w14:paraId="265DDB1E" w14:textId="4ECD87AE" w:rsidR="00606DF2" w:rsidRPr="004D58C9" w:rsidRDefault="00AB322A">
            <w:pPr>
              <w:rPr>
                <w:rFonts w:asciiTheme="minorHAnsi" w:hAnsiTheme="minorHAnsi" w:cstheme="minorHAnsi"/>
                <w:sz w:val="28"/>
              </w:rPr>
            </w:pPr>
            <w:r w:rsidRPr="004D58C9">
              <w:rPr>
                <w:rFonts w:asciiTheme="minorHAnsi" w:hAnsiTheme="minorHAnsi" w:cstheme="minorHAnsi"/>
                <w:sz w:val="28"/>
              </w:rPr>
              <w:t>5</w:t>
            </w:r>
          </w:p>
        </w:tc>
      </w:tr>
      <w:tr w:rsidR="00606DF2" w:rsidRPr="004D58C9" w14:paraId="2DFB98A2" w14:textId="77777777" w:rsidTr="70C2815B">
        <w:trPr>
          <w:trHeight w:val="418"/>
        </w:trPr>
        <w:tc>
          <w:tcPr>
            <w:tcW w:w="2965" w:type="dxa"/>
            <w:tcBorders>
              <w:top w:val="single" w:sz="4" w:space="0" w:color="auto"/>
              <w:left w:val="single" w:sz="4" w:space="0" w:color="auto"/>
              <w:bottom w:val="single" w:sz="4" w:space="0" w:color="auto"/>
              <w:right w:val="single" w:sz="4" w:space="0" w:color="auto"/>
            </w:tcBorders>
            <w:shd w:val="clear" w:color="auto" w:fill="DBE5F1"/>
            <w:hideMark/>
          </w:tcPr>
          <w:p w14:paraId="4D7F6D8A" w14:textId="77777777" w:rsidR="00606DF2" w:rsidRPr="004D58C9" w:rsidRDefault="00606DF2">
            <w:pPr>
              <w:rPr>
                <w:rStyle w:val="Emphasis"/>
                <w:rFonts w:asciiTheme="minorHAnsi" w:hAnsiTheme="minorHAnsi" w:cstheme="minorHAnsi"/>
              </w:rPr>
            </w:pPr>
            <w:r w:rsidRPr="004D58C9">
              <w:rPr>
                <w:rStyle w:val="Emphasis"/>
                <w:rFonts w:asciiTheme="minorHAnsi" w:hAnsiTheme="minorHAnsi" w:cstheme="minorHAnsi"/>
              </w:rPr>
              <w:t>Title:</w:t>
            </w:r>
          </w:p>
        </w:tc>
        <w:tc>
          <w:tcPr>
            <w:tcW w:w="6811" w:type="dxa"/>
            <w:gridSpan w:val="2"/>
            <w:tcBorders>
              <w:top w:val="single" w:sz="4" w:space="0" w:color="auto"/>
              <w:left w:val="single" w:sz="4" w:space="0" w:color="auto"/>
              <w:bottom w:val="single" w:sz="4" w:space="0" w:color="auto"/>
              <w:right w:val="single" w:sz="4" w:space="0" w:color="auto"/>
            </w:tcBorders>
          </w:tcPr>
          <w:p w14:paraId="2C9A13F0" w14:textId="21F0F595" w:rsidR="00606DF2" w:rsidRPr="004D58C9" w:rsidRDefault="00AB322A">
            <w:pPr>
              <w:rPr>
                <w:rFonts w:asciiTheme="minorHAnsi" w:hAnsiTheme="minorHAnsi" w:cstheme="minorHAnsi"/>
                <w:sz w:val="28"/>
              </w:rPr>
            </w:pPr>
            <w:r w:rsidRPr="004D58C9">
              <w:rPr>
                <w:rFonts w:asciiTheme="minorHAnsi" w:hAnsiTheme="minorHAnsi" w:cstheme="minorHAnsi"/>
                <w:sz w:val="28"/>
              </w:rPr>
              <w:t>Chief Executive Report</w:t>
            </w:r>
          </w:p>
        </w:tc>
      </w:tr>
      <w:tr w:rsidR="00606DF2" w:rsidRPr="004D58C9" w14:paraId="35C0A1C1" w14:textId="77777777" w:rsidTr="70C2815B">
        <w:trPr>
          <w:trHeight w:val="282"/>
        </w:trPr>
        <w:tc>
          <w:tcPr>
            <w:tcW w:w="2965" w:type="dxa"/>
            <w:tcBorders>
              <w:top w:val="single" w:sz="4" w:space="0" w:color="auto"/>
              <w:left w:val="single" w:sz="4" w:space="0" w:color="auto"/>
              <w:bottom w:val="single" w:sz="4" w:space="0" w:color="auto"/>
              <w:right w:val="single" w:sz="4" w:space="0" w:color="auto"/>
            </w:tcBorders>
            <w:shd w:val="clear" w:color="auto" w:fill="DBE5F1"/>
            <w:hideMark/>
          </w:tcPr>
          <w:p w14:paraId="281B4C67" w14:textId="77777777" w:rsidR="00606DF2" w:rsidRPr="004D58C9" w:rsidRDefault="00606DF2">
            <w:pPr>
              <w:rPr>
                <w:rStyle w:val="Emphasis"/>
                <w:rFonts w:asciiTheme="minorHAnsi" w:hAnsiTheme="minorHAnsi" w:cstheme="minorHAnsi"/>
              </w:rPr>
            </w:pPr>
            <w:r w:rsidRPr="004D58C9">
              <w:rPr>
                <w:rStyle w:val="Emphasis"/>
                <w:rFonts w:asciiTheme="minorHAnsi" w:hAnsiTheme="minorHAnsi" w:cstheme="minorHAnsi"/>
              </w:rPr>
              <w:t xml:space="preserve">Confidential Papers </w:t>
            </w:r>
          </w:p>
          <w:p w14:paraId="3A4EE52F" w14:textId="63C471BC" w:rsidR="00606DF2" w:rsidRPr="004D58C9" w:rsidRDefault="00606DF2">
            <w:pPr>
              <w:rPr>
                <w:rFonts w:asciiTheme="minorHAnsi" w:hAnsiTheme="minorHAnsi" w:cstheme="minorHAnsi"/>
                <w:b/>
                <w:color w:val="B90000"/>
              </w:rPr>
            </w:pPr>
          </w:p>
        </w:tc>
        <w:tc>
          <w:tcPr>
            <w:tcW w:w="6811" w:type="dxa"/>
            <w:gridSpan w:val="2"/>
            <w:tcBorders>
              <w:top w:val="single" w:sz="4" w:space="0" w:color="auto"/>
              <w:left w:val="single" w:sz="4" w:space="0" w:color="auto"/>
              <w:bottom w:val="single" w:sz="4" w:space="0" w:color="auto"/>
              <w:right w:val="single" w:sz="4" w:space="0" w:color="auto"/>
            </w:tcBorders>
            <w:shd w:val="clear" w:color="auto" w:fill="DBE5F1"/>
            <w:hideMark/>
          </w:tcPr>
          <w:tbl>
            <w:tblPr>
              <w:tblStyle w:val="TableGrid"/>
              <w:tblW w:w="0" w:type="auto"/>
              <w:tblInd w:w="108" w:type="dxa"/>
              <w:tblLook w:val="04A0" w:firstRow="1" w:lastRow="0" w:firstColumn="1" w:lastColumn="0" w:noHBand="0" w:noVBand="1"/>
            </w:tblPr>
            <w:tblGrid>
              <w:gridCol w:w="4573"/>
              <w:gridCol w:w="1904"/>
            </w:tblGrid>
            <w:tr w:rsidR="00606DF2" w:rsidRPr="004D58C9" w14:paraId="26ECF5B0" w14:textId="77777777" w:rsidTr="70C2815B">
              <w:tc>
                <w:tcPr>
                  <w:tcW w:w="5362" w:type="dxa"/>
                  <w:tcBorders>
                    <w:top w:val="single" w:sz="4" w:space="0" w:color="auto"/>
                    <w:left w:val="single" w:sz="4" w:space="0" w:color="auto"/>
                    <w:bottom w:val="single" w:sz="4" w:space="0" w:color="auto"/>
                    <w:right w:val="single" w:sz="4" w:space="0" w:color="auto"/>
                  </w:tcBorders>
                  <w:hideMark/>
                </w:tcPr>
                <w:p w14:paraId="7FBB06C6" w14:textId="77777777" w:rsidR="00606DF2" w:rsidRPr="004D58C9" w:rsidRDefault="00606DF2" w:rsidP="00856C17">
                  <w:pPr>
                    <w:rPr>
                      <w:rStyle w:val="Emphasis"/>
                      <w:rFonts w:asciiTheme="minorHAnsi" w:hAnsiTheme="minorHAnsi" w:cstheme="minorHAnsi"/>
                      <w:color w:val="1C1F63" w:themeColor="text1"/>
                    </w:rPr>
                  </w:pPr>
                  <w:r w:rsidRPr="004D58C9">
                    <w:rPr>
                      <w:rStyle w:val="Emphasis"/>
                      <w:rFonts w:asciiTheme="minorHAnsi" w:hAnsiTheme="minorHAnsi" w:cstheme="minorHAnsi"/>
                      <w:color w:val="1C1F63" w:themeColor="text1"/>
                    </w:rPr>
                    <w:t>Commercially Sensitive</w:t>
                  </w:r>
                </w:p>
              </w:tc>
              <w:tc>
                <w:tcPr>
                  <w:tcW w:w="2160" w:type="dxa"/>
                  <w:tcBorders>
                    <w:top w:val="single" w:sz="4" w:space="0" w:color="auto"/>
                    <w:left w:val="single" w:sz="4" w:space="0" w:color="auto"/>
                    <w:bottom w:val="single" w:sz="4" w:space="0" w:color="auto"/>
                    <w:right w:val="single" w:sz="4" w:space="0" w:color="auto"/>
                  </w:tcBorders>
                  <w:hideMark/>
                </w:tcPr>
                <w:p w14:paraId="44FFDDCE" w14:textId="30D9D109" w:rsidR="00606DF2" w:rsidRPr="004D58C9" w:rsidRDefault="00606DF2">
                  <w:pPr>
                    <w:pStyle w:val="Head2"/>
                    <w:rPr>
                      <w:rFonts w:asciiTheme="minorHAnsi" w:hAnsiTheme="minorHAnsi" w:cstheme="minorHAnsi"/>
                      <w:b w:val="0"/>
                      <w:sz w:val="24"/>
                      <w:szCs w:val="24"/>
                    </w:rPr>
                  </w:pPr>
                  <w:r w:rsidRPr="004D58C9">
                    <w:rPr>
                      <w:rFonts w:asciiTheme="minorHAnsi" w:hAnsiTheme="minorHAnsi" w:cstheme="minorHAnsi"/>
                      <w:b w:val="0"/>
                      <w:sz w:val="24"/>
                      <w:szCs w:val="24"/>
                    </w:rPr>
                    <w:t>No</w:t>
                  </w:r>
                </w:p>
              </w:tc>
            </w:tr>
            <w:tr w:rsidR="00606DF2" w:rsidRPr="004D58C9" w14:paraId="30024B9D" w14:textId="77777777" w:rsidTr="70C2815B">
              <w:tc>
                <w:tcPr>
                  <w:tcW w:w="5362" w:type="dxa"/>
                  <w:tcBorders>
                    <w:top w:val="single" w:sz="4" w:space="0" w:color="auto"/>
                    <w:left w:val="single" w:sz="4" w:space="0" w:color="auto"/>
                    <w:bottom w:val="single" w:sz="4" w:space="0" w:color="auto"/>
                    <w:right w:val="single" w:sz="4" w:space="0" w:color="auto"/>
                  </w:tcBorders>
                  <w:hideMark/>
                </w:tcPr>
                <w:p w14:paraId="6B9A3036" w14:textId="77777777" w:rsidR="00606DF2" w:rsidRPr="004D58C9" w:rsidRDefault="00606DF2" w:rsidP="00856C17">
                  <w:pPr>
                    <w:rPr>
                      <w:rStyle w:val="Emphasis"/>
                      <w:rFonts w:asciiTheme="minorHAnsi" w:hAnsiTheme="minorHAnsi" w:cstheme="minorHAnsi"/>
                      <w:color w:val="1C1F63" w:themeColor="text1"/>
                    </w:rPr>
                  </w:pPr>
                  <w:r w:rsidRPr="004D58C9">
                    <w:rPr>
                      <w:rStyle w:val="Emphasis"/>
                      <w:rFonts w:asciiTheme="minorHAnsi" w:hAnsiTheme="minorHAnsi" w:cstheme="minorHAnsi"/>
                      <w:color w:val="1C1F63" w:themeColor="text1"/>
                    </w:rPr>
                    <w:t>Legally Sensitive</w:t>
                  </w:r>
                </w:p>
              </w:tc>
              <w:tc>
                <w:tcPr>
                  <w:tcW w:w="2160" w:type="dxa"/>
                  <w:tcBorders>
                    <w:top w:val="single" w:sz="4" w:space="0" w:color="auto"/>
                    <w:left w:val="single" w:sz="4" w:space="0" w:color="auto"/>
                    <w:bottom w:val="single" w:sz="4" w:space="0" w:color="auto"/>
                    <w:right w:val="single" w:sz="4" w:space="0" w:color="auto"/>
                  </w:tcBorders>
                  <w:hideMark/>
                </w:tcPr>
                <w:p w14:paraId="15386834" w14:textId="011C0373" w:rsidR="00606DF2" w:rsidRPr="004D58C9" w:rsidRDefault="00606DF2">
                  <w:pPr>
                    <w:pStyle w:val="Head2"/>
                    <w:rPr>
                      <w:rFonts w:asciiTheme="minorHAnsi" w:hAnsiTheme="minorHAnsi" w:cstheme="minorHAnsi"/>
                      <w:sz w:val="24"/>
                      <w:szCs w:val="24"/>
                    </w:rPr>
                  </w:pPr>
                  <w:r w:rsidRPr="004D58C9">
                    <w:rPr>
                      <w:rFonts w:asciiTheme="minorHAnsi" w:hAnsiTheme="minorHAnsi" w:cstheme="minorHAnsi"/>
                      <w:b w:val="0"/>
                      <w:sz w:val="24"/>
                      <w:szCs w:val="24"/>
                    </w:rPr>
                    <w:t>No</w:t>
                  </w:r>
                </w:p>
              </w:tc>
            </w:tr>
            <w:tr w:rsidR="00606DF2" w:rsidRPr="004D58C9" w14:paraId="5B89F9A1" w14:textId="77777777" w:rsidTr="70C2815B">
              <w:tc>
                <w:tcPr>
                  <w:tcW w:w="5362" w:type="dxa"/>
                  <w:tcBorders>
                    <w:top w:val="single" w:sz="4" w:space="0" w:color="auto"/>
                    <w:left w:val="single" w:sz="4" w:space="0" w:color="auto"/>
                    <w:bottom w:val="single" w:sz="4" w:space="0" w:color="auto"/>
                    <w:right w:val="single" w:sz="4" w:space="0" w:color="auto"/>
                  </w:tcBorders>
                  <w:hideMark/>
                </w:tcPr>
                <w:p w14:paraId="631B8CC4" w14:textId="77777777" w:rsidR="00606DF2" w:rsidRPr="004D58C9" w:rsidRDefault="00606DF2" w:rsidP="00856C17">
                  <w:pPr>
                    <w:rPr>
                      <w:rStyle w:val="Emphasis"/>
                      <w:rFonts w:asciiTheme="minorHAnsi" w:hAnsiTheme="minorHAnsi" w:cstheme="minorHAnsi"/>
                      <w:color w:val="1C1F63" w:themeColor="text1"/>
                    </w:rPr>
                  </w:pPr>
                  <w:r w:rsidRPr="004D58C9">
                    <w:rPr>
                      <w:rStyle w:val="Emphasis"/>
                      <w:rFonts w:asciiTheme="minorHAnsi" w:hAnsiTheme="minorHAnsi" w:cstheme="minorHAnsi"/>
                      <w:color w:val="1C1F63" w:themeColor="text1"/>
                    </w:rPr>
                    <w:t>Contains Patient Identifiable data</w:t>
                  </w:r>
                </w:p>
              </w:tc>
              <w:tc>
                <w:tcPr>
                  <w:tcW w:w="2160" w:type="dxa"/>
                  <w:tcBorders>
                    <w:top w:val="single" w:sz="4" w:space="0" w:color="auto"/>
                    <w:left w:val="single" w:sz="4" w:space="0" w:color="auto"/>
                    <w:bottom w:val="single" w:sz="4" w:space="0" w:color="auto"/>
                    <w:right w:val="single" w:sz="4" w:space="0" w:color="auto"/>
                  </w:tcBorders>
                  <w:hideMark/>
                </w:tcPr>
                <w:p w14:paraId="32F42707" w14:textId="38220115" w:rsidR="00606DF2" w:rsidRPr="004D58C9" w:rsidRDefault="00606DF2">
                  <w:pPr>
                    <w:pStyle w:val="Head2"/>
                    <w:rPr>
                      <w:rFonts w:asciiTheme="minorHAnsi" w:hAnsiTheme="minorHAnsi" w:cstheme="minorHAnsi"/>
                      <w:sz w:val="24"/>
                      <w:szCs w:val="24"/>
                    </w:rPr>
                  </w:pPr>
                  <w:r w:rsidRPr="004D58C9">
                    <w:rPr>
                      <w:rFonts w:asciiTheme="minorHAnsi" w:hAnsiTheme="minorHAnsi" w:cstheme="minorHAnsi"/>
                      <w:b w:val="0"/>
                      <w:sz w:val="24"/>
                      <w:szCs w:val="24"/>
                    </w:rPr>
                    <w:t>No</w:t>
                  </w:r>
                </w:p>
              </w:tc>
            </w:tr>
            <w:tr w:rsidR="00606DF2" w:rsidRPr="004D58C9" w14:paraId="53BAD23D" w14:textId="77777777" w:rsidTr="70C2815B">
              <w:tc>
                <w:tcPr>
                  <w:tcW w:w="5362" w:type="dxa"/>
                  <w:tcBorders>
                    <w:top w:val="single" w:sz="4" w:space="0" w:color="auto"/>
                    <w:left w:val="single" w:sz="4" w:space="0" w:color="auto"/>
                    <w:bottom w:val="single" w:sz="4" w:space="0" w:color="auto"/>
                    <w:right w:val="single" w:sz="4" w:space="0" w:color="auto"/>
                  </w:tcBorders>
                  <w:hideMark/>
                </w:tcPr>
                <w:p w14:paraId="573A7745" w14:textId="77777777" w:rsidR="00606DF2" w:rsidRPr="004D58C9" w:rsidRDefault="00606DF2" w:rsidP="00856C17">
                  <w:pPr>
                    <w:rPr>
                      <w:rStyle w:val="Emphasis"/>
                      <w:rFonts w:asciiTheme="minorHAnsi" w:hAnsiTheme="minorHAnsi" w:cstheme="minorHAnsi"/>
                      <w:color w:val="1C1F63" w:themeColor="text1"/>
                    </w:rPr>
                  </w:pPr>
                  <w:r w:rsidRPr="004D58C9">
                    <w:rPr>
                      <w:rStyle w:val="Emphasis"/>
                      <w:rFonts w:asciiTheme="minorHAnsi" w:hAnsiTheme="minorHAnsi" w:cstheme="minorHAnsi"/>
                      <w:color w:val="1C1F63" w:themeColor="text1"/>
                    </w:rPr>
                    <w:t>Financially Sensitive</w:t>
                  </w:r>
                </w:p>
              </w:tc>
              <w:tc>
                <w:tcPr>
                  <w:tcW w:w="2160" w:type="dxa"/>
                  <w:tcBorders>
                    <w:top w:val="single" w:sz="4" w:space="0" w:color="auto"/>
                    <w:left w:val="single" w:sz="4" w:space="0" w:color="auto"/>
                    <w:bottom w:val="single" w:sz="4" w:space="0" w:color="auto"/>
                    <w:right w:val="single" w:sz="4" w:space="0" w:color="auto"/>
                  </w:tcBorders>
                  <w:hideMark/>
                </w:tcPr>
                <w:p w14:paraId="78FE6D7A" w14:textId="23D430DC" w:rsidR="00606DF2" w:rsidRPr="004D58C9" w:rsidRDefault="00606DF2">
                  <w:pPr>
                    <w:pStyle w:val="Head2"/>
                    <w:rPr>
                      <w:rFonts w:asciiTheme="minorHAnsi" w:hAnsiTheme="minorHAnsi" w:cstheme="minorHAnsi"/>
                      <w:sz w:val="24"/>
                      <w:szCs w:val="24"/>
                    </w:rPr>
                  </w:pPr>
                  <w:r w:rsidRPr="004D58C9">
                    <w:rPr>
                      <w:rFonts w:asciiTheme="minorHAnsi" w:hAnsiTheme="minorHAnsi" w:cstheme="minorHAnsi"/>
                      <w:b w:val="0"/>
                      <w:sz w:val="24"/>
                      <w:szCs w:val="24"/>
                    </w:rPr>
                    <w:t>No</w:t>
                  </w:r>
                </w:p>
              </w:tc>
            </w:tr>
            <w:tr w:rsidR="00606DF2" w:rsidRPr="004D58C9" w14:paraId="6FECD3BE" w14:textId="77777777" w:rsidTr="70C2815B">
              <w:tc>
                <w:tcPr>
                  <w:tcW w:w="5362" w:type="dxa"/>
                  <w:tcBorders>
                    <w:top w:val="single" w:sz="4" w:space="0" w:color="auto"/>
                    <w:left w:val="single" w:sz="4" w:space="0" w:color="auto"/>
                    <w:bottom w:val="single" w:sz="4" w:space="0" w:color="auto"/>
                    <w:right w:val="single" w:sz="4" w:space="0" w:color="auto"/>
                  </w:tcBorders>
                  <w:hideMark/>
                </w:tcPr>
                <w:p w14:paraId="41203DCF" w14:textId="77777777" w:rsidR="00606DF2" w:rsidRPr="004D58C9" w:rsidRDefault="00606DF2" w:rsidP="00856C17">
                  <w:pPr>
                    <w:rPr>
                      <w:rStyle w:val="Emphasis"/>
                      <w:rFonts w:asciiTheme="minorHAnsi" w:hAnsiTheme="minorHAnsi" w:cstheme="minorHAnsi"/>
                      <w:color w:val="1C1F63" w:themeColor="text1"/>
                    </w:rPr>
                  </w:pPr>
                  <w:r w:rsidRPr="004D58C9">
                    <w:rPr>
                      <w:rStyle w:val="Emphasis"/>
                      <w:rFonts w:asciiTheme="minorHAnsi" w:hAnsiTheme="minorHAnsi" w:cstheme="minorHAnsi"/>
                      <w:color w:val="1C1F63" w:themeColor="accent5"/>
                    </w:rPr>
                    <w:t xml:space="preserve">Time Sensitive – not for public release </w:t>
                  </w:r>
                  <w:bookmarkStart w:id="0" w:name="_Int_wNt10vAS"/>
                  <w:r w:rsidRPr="004D58C9">
                    <w:rPr>
                      <w:rStyle w:val="Emphasis"/>
                      <w:rFonts w:asciiTheme="minorHAnsi" w:hAnsiTheme="minorHAnsi" w:cstheme="minorHAnsi"/>
                      <w:color w:val="1C1F63" w:themeColor="accent5"/>
                    </w:rPr>
                    <w:t>at this time</w:t>
                  </w:r>
                  <w:bookmarkEnd w:id="0"/>
                </w:p>
              </w:tc>
              <w:tc>
                <w:tcPr>
                  <w:tcW w:w="2160" w:type="dxa"/>
                  <w:tcBorders>
                    <w:top w:val="single" w:sz="4" w:space="0" w:color="auto"/>
                    <w:left w:val="single" w:sz="4" w:space="0" w:color="auto"/>
                    <w:bottom w:val="single" w:sz="4" w:space="0" w:color="auto"/>
                    <w:right w:val="single" w:sz="4" w:space="0" w:color="auto"/>
                  </w:tcBorders>
                  <w:hideMark/>
                </w:tcPr>
                <w:p w14:paraId="0CF00B43" w14:textId="0E749DBE" w:rsidR="00606DF2" w:rsidRPr="004D58C9" w:rsidRDefault="00606DF2">
                  <w:pPr>
                    <w:pStyle w:val="Head2"/>
                    <w:rPr>
                      <w:rFonts w:asciiTheme="minorHAnsi" w:hAnsiTheme="minorHAnsi" w:cstheme="minorHAnsi"/>
                      <w:sz w:val="24"/>
                      <w:szCs w:val="24"/>
                    </w:rPr>
                  </w:pPr>
                  <w:r w:rsidRPr="004D58C9">
                    <w:rPr>
                      <w:rFonts w:asciiTheme="minorHAnsi" w:hAnsiTheme="minorHAnsi" w:cstheme="minorHAnsi"/>
                      <w:b w:val="0"/>
                      <w:sz w:val="24"/>
                      <w:szCs w:val="24"/>
                    </w:rPr>
                    <w:t>No</w:t>
                  </w:r>
                </w:p>
              </w:tc>
            </w:tr>
            <w:tr w:rsidR="00606DF2" w:rsidRPr="004D58C9" w14:paraId="56CB11CD" w14:textId="77777777" w:rsidTr="70C2815B">
              <w:tc>
                <w:tcPr>
                  <w:tcW w:w="5362" w:type="dxa"/>
                  <w:tcBorders>
                    <w:top w:val="single" w:sz="4" w:space="0" w:color="auto"/>
                    <w:left w:val="single" w:sz="4" w:space="0" w:color="auto"/>
                    <w:bottom w:val="single" w:sz="4" w:space="0" w:color="auto"/>
                    <w:right w:val="single" w:sz="4" w:space="0" w:color="auto"/>
                  </w:tcBorders>
                  <w:hideMark/>
                </w:tcPr>
                <w:p w14:paraId="6B840806" w14:textId="77777777" w:rsidR="00606DF2" w:rsidRPr="004D58C9" w:rsidRDefault="00606DF2" w:rsidP="00856C17">
                  <w:pPr>
                    <w:rPr>
                      <w:rStyle w:val="Emphasis"/>
                      <w:rFonts w:asciiTheme="minorHAnsi" w:hAnsiTheme="minorHAnsi" w:cstheme="minorHAnsi"/>
                      <w:color w:val="1C1F63" w:themeColor="text1"/>
                    </w:rPr>
                  </w:pPr>
                  <w:r w:rsidRPr="004D58C9">
                    <w:rPr>
                      <w:rStyle w:val="Emphasis"/>
                      <w:rFonts w:asciiTheme="minorHAnsi" w:hAnsiTheme="minorHAnsi" w:cstheme="minorHAnsi"/>
                      <w:color w:val="1C1F63" w:themeColor="text1"/>
                    </w:rPr>
                    <w:t>Other (Please state)</w:t>
                  </w:r>
                </w:p>
              </w:tc>
              <w:tc>
                <w:tcPr>
                  <w:tcW w:w="2160" w:type="dxa"/>
                  <w:tcBorders>
                    <w:top w:val="single" w:sz="4" w:space="0" w:color="auto"/>
                    <w:left w:val="single" w:sz="4" w:space="0" w:color="auto"/>
                    <w:bottom w:val="single" w:sz="4" w:space="0" w:color="auto"/>
                    <w:right w:val="single" w:sz="4" w:space="0" w:color="auto"/>
                  </w:tcBorders>
                  <w:hideMark/>
                </w:tcPr>
                <w:p w14:paraId="4334AC84" w14:textId="77777777" w:rsidR="00606DF2" w:rsidRPr="004D58C9" w:rsidRDefault="00606DF2">
                  <w:pPr>
                    <w:pStyle w:val="Head2"/>
                    <w:rPr>
                      <w:rFonts w:asciiTheme="minorHAnsi" w:hAnsiTheme="minorHAnsi" w:cstheme="minorHAnsi"/>
                      <w:sz w:val="24"/>
                      <w:szCs w:val="24"/>
                    </w:rPr>
                  </w:pPr>
                  <w:r w:rsidRPr="004D58C9">
                    <w:rPr>
                      <w:rFonts w:asciiTheme="minorHAnsi" w:hAnsiTheme="minorHAnsi" w:cstheme="minorHAnsi"/>
                      <w:b w:val="0"/>
                      <w:sz w:val="24"/>
                      <w:szCs w:val="24"/>
                    </w:rPr>
                    <w:t>Yes/No</w:t>
                  </w:r>
                </w:p>
              </w:tc>
            </w:tr>
          </w:tbl>
          <w:p w14:paraId="4776DB1C" w14:textId="77777777" w:rsidR="00606DF2" w:rsidRPr="004D58C9" w:rsidRDefault="00606DF2">
            <w:pPr>
              <w:rPr>
                <w:rFonts w:asciiTheme="minorHAnsi" w:hAnsiTheme="minorHAnsi" w:cstheme="minorHAnsi"/>
                <w:color w:val="FF0000"/>
              </w:rPr>
            </w:pPr>
          </w:p>
        </w:tc>
      </w:tr>
      <w:tr w:rsidR="00606DF2" w:rsidRPr="004D58C9" w14:paraId="377DB364" w14:textId="77777777" w:rsidTr="70C2815B">
        <w:trPr>
          <w:trHeight w:val="282"/>
        </w:trPr>
        <w:tc>
          <w:tcPr>
            <w:tcW w:w="9776"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3A0A481F" w14:textId="45B5A652" w:rsidR="00606DF2" w:rsidRPr="004D58C9" w:rsidRDefault="00606DF2">
            <w:pPr>
              <w:rPr>
                <w:rStyle w:val="Emphasis"/>
                <w:rFonts w:asciiTheme="minorHAnsi" w:hAnsiTheme="minorHAnsi" w:cstheme="minorHAnsi"/>
              </w:rPr>
            </w:pPr>
            <w:r w:rsidRPr="004D58C9">
              <w:rPr>
                <w:rStyle w:val="Emphasis"/>
                <w:rFonts w:asciiTheme="minorHAnsi" w:hAnsiTheme="minorHAnsi" w:cstheme="minorHAnsi"/>
              </w:rPr>
              <w:t xml:space="preserve">Purpose: For Information </w:t>
            </w:r>
          </w:p>
        </w:tc>
      </w:tr>
      <w:tr w:rsidR="00606DF2" w:rsidRPr="004D58C9" w14:paraId="7F5CC85A" w14:textId="77777777" w:rsidTr="70C2815B">
        <w:trPr>
          <w:trHeight w:val="282"/>
        </w:trPr>
        <w:tc>
          <w:tcPr>
            <w:tcW w:w="9776"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6C57CCE8" w14:textId="77777777" w:rsidR="00606DF2" w:rsidRPr="004D58C9" w:rsidRDefault="00606DF2">
            <w:pPr>
              <w:rPr>
                <w:rStyle w:val="Emphasis"/>
                <w:rFonts w:asciiTheme="minorHAnsi" w:hAnsiTheme="minorHAnsi" w:cstheme="minorHAnsi"/>
              </w:rPr>
            </w:pPr>
            <w:r w:rsidRPr="004D58C9">
              <w:rPr>
                <w:rStyle w:val="Emphasis"/>
                <w:rFonts w:asciiTheme="minorHAnsi" w:hAnsiTheme="minorHAnsi" w:cstheme="minorHAnsi"/>
              </w:rPr>
              <w:t>Key Points for Discussion:</w:t>
            </w:r>
          </w:p>
        </w:tc>
      </w:tr>
      <w:tr w:rsidR="00606DF2" w:rsidRPr="004D58C9" w14:paraId="00DEE67F" w14:textId="77777777" w:rsidTr="70C2815B">
        <w:trPr>
          <w:trHeight w:val="1266"/>
        </w:trPr>
        <w:tc>
          <w:tcPr>
            <w:tcW w:w="9776" w:type="dxa"/>
            <w:gridSpan w:val="3"/>
            <w:tcBorders>
              <w:top w:val="single" w:sz="4" w:space="0" w:color="auto"/>
              <w:left w:val="single" w:sz="4" w:space="0" w:color="auto"/>
              <w:bottom w:val="single" w:sz="4" w:space="0" w:color="auto"/>
              <w:right w:val="single" w:sz="4" w:space="0" w:color="auto"/>
            </w:tcBorders>
          </w:tcPr>
          <w:p w14:paraId="334BD824" w14:textId="24D1D160" w:rsidR="005077FC" w:rsidRPr="004D58C9" w:rsidRDefault="005077FC" w:rsidP="70C2815B">
            <w:pPr>
              <w:rPr>
                <w:rFonts w:asciiTheme="minorHAnsi" w:hAnsiTheme="minorHAnsi" w:cstheme="minorHAnsi"/>
                <w:szCs w:val="24"/>
              </w:rPr>
            </w:pPr>
            <w:r w:rsidRPr="004D58C9">
              <w:rPr>
                <w:rFonts w:asciiTheme="minorHAnsi" w:hAnsiTheme="minorHAnsi" w:cstheme="minorHAnsi"/>
                <w:szCs w:val="24"/>
              </w:rPr>
              <w:t>The purpose of this paper is to provide the Integrated Care Board meeting with an update of key issues, from the Chief Executive’s perspective, of importance to the successful delivery of the ICB’s aims and objectives</w:t>
            </w:r>
            <w:r w:rsidR="7A506551" w:rsidRPr="004D58C9">
              <w:rPr>
                <w:rFonts w:asciiTheme="minorHAnsi" w:hAnsiTheme="minorHAnsi" w:cstheme="minorHAnsi"/>
                <w:szCs w:val="24"/>
              </w:rPr>
              <w:t xml:space="preserve">. </w:t>
            </w:r>
          </w:p>
          <w:p w14:paraId="354FCA6A" w14:textId="77777777" w:rsidR="005077FC" w:rsidRPr="004D58C9" w:rsidRDefault="005077FC" w:rsidP="70C2815B">
            <w:pPr>
              <w:rPr>
                <w:rFonts w:asciiTheme="minorHAnsi" w:hAnsiTheme="minorHAnsi" w:cstheme="minorHAnsi"/>
                <w:szCs w:val="24"/>
              </w:rPr>
            </w:pPr>
            <w:r w:rsidRPr="004D58C9">
              <w:rPr>
                <w:rFonts w:asciiTheme="minorHAnsi" w:hAnsiTheme="minorHAnsi" w:cstheme="minorHAnsi"/>
                <w:szCs w:val="24"/>
              </w:rPr>
              <w:t>The main areas of discussion this month are;</w:t>
            </w:r>
          </w:p>
          <w:p w14:paraId="0742CD74" w14:textId="79D2F32C" w:rsidR="005264D8" w:rsidRDefault="005264D8" w:rsidP="00375218">
            <w:pPr>
              <w:pStyle w:val="ListParagraph"/>
              <w:numPr>
                <w:ilvl w:val="0"/>
                <w:numId w:val="3"/>
              </w:numPr>
              <w:rPr>
                <w:rFonts w:asciiTheme="minorHAnsi" w:hAnsiTheme="minorHAnsi" w:cstheme="minorHAnsi"/>
                <w:szCs w:val="24"/>
              </w:rPr>
            </w:pPr>
            <w:bookmarkStart w:id="1" w:name="_Hlk215478591"/>
            <w:r w:rsidRPr="000E139B">
              <w:rPr>
                <w:rFonts w:asciiTheme="minorHAnsi" w:hAnsiTheme="minorHAnsi" w:cstheme="minorHAnsi"/>
                <w:szCs w:val="24"/>
              </w:rPr>
              <w:t xml:space="preserve">ICB </w:t>
            </w:r>
            <w:r w:rsidR="000E139B">
              <w:rPr>
                <w:rFonts w:asciiTheme="minorHAnsi" w:hAnsiTheme="minorHAnsi" w:cstheme="minorHAnsi"/>
                <w:szCs w:val="24"/>
              </w:rPr>
              <w:t xml:space="preserve">Organisational Changes </w:t>
            </w:r>
          </w:p>
          <w:p w14:paraId="0A628AD8" w14:textId="7B19D6AE" w:rsidR="000E139B" w:rsidRDefault="00E745B4" w:rsidP="00375218">
            <w:pPr>
              <w:pStyle w:val="ListParagraph"/>
              <w:numPr>
                <w:ilvl w:val="0"/>
                <w:numId w:val="3"/>
              </w:numPr>
              <w:rPr>
                <w:rFonts w:asciiTheme="minorHAnsi" w:hAnsiTheme="minorHAnsi" w:cstheme="minorHAnsi"/>
                <w:szCs w:val="24"/>
              </w:rPr>
            </w:pPr>
            <w:r>
              <w:rPr>
                <w:rFonts w:asciiTheme="minorHAnsi" w:hAnsiTheme="minorHAnsi" w:cstheme="minorHAnsi"/>
                <w:szCs w:val="24"/>
              </w:rPr>
              <w:t>Neighbourhood Health National Visit</w:t>
            </w:r>
          </w:p>
          <w:p w14:paraId="2687C25D" w14:textId="5B13533F" w:rsidR="00E745B4" w:rsidRPr="000E139B" w:rsidRDefault="00E745B4" w:rsidP="00375218">
            <w:pPr>
              <w:pStyle w:val="ListParagraph"/>
              <w:numPr>
                <w:ilvl w:val="0"/>
                <w:numId w:val="3"/>
              </w:numPr>
              <w:rPr>
                <w:rFonts w:asciiTheme="minorHAnsi" w:hAnsiTheme="minorHAnsi" w:cstheme="minorHAnsi"/>
                <w:szCs w:val="24"/>
              </w:rPr>
            </w:pPr>
            <w:r>
              <w:rPr>
                <w:rFonts w:asciiTheme="minorHAnsi" w:hAnsiTheme="minorHAnsi" w:cstheme="minorHAnsi"/>
                <w:szCs w:val="24"/>
              </w:rPr>
              <w:t>Preparing for Merger</w:t>
            </w:r>
          </w:p>
          <w:bookmarkEnd w:id="1"/>
          <w:p w14:paraId="1B720963" w14:textId="4AA44C20" w:rsidR="00D45BF6" w:rsidRPr="004D58C9" w:rsidRDefault="00D45BF6" w:rsidP="000E139B">
            <w:pPr>
              <w:pStyle w:val="ListParagraph"/>
              <w:rPr>
                <w:rFonts w:asciiTheme="minorHAnsi" w:hAnsiTheme="minorHAnsi" w:cstheme="minorHAnsi"/>
                <w:szCs w:val="24"/>
              </w:rPr>
            </w:pPr>
          </w:p>
        </w:tc>
      </w:tr>
      <w:tr w:rsidR="00606DF2" w:rsidRPr="004D58C9" w14:paraId="310A567E" w14:textId="77777777" w:rsidTr="70C2815B">
        <w:trPr>
          <w:trHeight w:val="735"/>
        </w:trPr>
        <w:tc>
          <w:tcPr>
            <w:tcW w:w="3358"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023D4D37" w14:textId="77777777" w:rsidR="00606DF2" w:rsidRPr="004D58C9" w:rsidRDefault="00606DF2" w:rsidP="70C2815B">
            <w:pPr>
              <w:spacing w:before="300"/>
              <w:rPr>
                <w:rStyle w:val="Emphasis"/>
                <w:rFonts w:asciiTheme="minorHAnsi" w:hAnsiTheme="minorHAnsi" w:cstheme="minorHAnsi"/>
                <w:szCs w:val="24"/>
              </w:rPr>
            </w:pPr>
            <w:r w:rsidRPr="004D58C9">
              <w:rPr>
                <w:rStyle w:val="Emphasis"/>
                <w:rFonts w:asciiTheme="minorHAnsi" w:hAnsiTheme="minorHAnsi" w:cstheme="minorHAnsi"/>
                <w:szCs w:val="24"/>
              </w:rPr>
              <w:t>Recommendations:</w:t>
            </w:r>
          </w:p>
        </w:tc>
        <w:tc>
          <w:tcPr>
            <w:tcW w:w="6418" w:type="dxa"/>
            <w:tcBorders>
              <w:top w:val="single" w:sz="4" w:space="0" w:color="auto"/>
              <w:left w:val="single" w:sz="4" w:space="0" w:color="auto"/>
              <w:bottom w:val="single" w:sz="4" w:space="0" w:color="auto"/>
              <w:right w:val="single" w:sz="4" w:space="0" w:color="auto"/>
            </w:tcBorders>
            <w:hideMark/>
          </w:tcPr>
          <w:p w14:paraId="5B1A30DC" w14:textId="61C4E2AC" w:rsidR="70C2815B" w:rsidRPr="004D58C9" w:rsidRDefault="70C2815B" w:rsidP="70C2815B">
            <w:pPr>
              <w:pStyle w:val="BodyText1"/>
              <w:rPr>
                <w:rFonts w:asciiTheme="minorHAnsi" w:hAnsiTheme="minorHAnsi" w:cstheme="minorHAnsi"/>
                <w:color w:val="auto"/>
                <w:lang w:eastAsia="en-US"/>
              </w:rPr>
            </w:pPr>
          </w:p>
          <w:p w14:paraId="6B51828D" w14:textId="054A78D2" w:rsidR="00606DF2" w:rsidRPr="004D58C9" w:rsidRDefault="00606DF2" w:rsidP="70C2815B">
            <w:pPr>
              <w:pStyle w:val="BodyText1"/>
              <w:rPr>
                <w:rFonts w:asciiTheme="minorHAnsi" w:hAnsiTheme="minorHAnsi" w:cstheme="minorHAnsi"/>
                <w:color w:val="FF0000"/>
                <w:lang w:eastAsia="en-US"/>
              </w:rPr>
            </w:pPr>
            <w:r w:rsidRPr="004D58C9">
              <w:rPr>
                <w:rFonts w:asciiTheme="minorHAnsi" w:hAnsiTheme="minorHAnsi" w:cstheme="minorHAnsi"/>
                <w:color w:val="auto"/>
                <w:lang w:eastAsia="en-US"/>
              </w:rPr>
              <w:t>To discus</w:t>
            </w:r>
            <w:r w:rsidR="00B65BC3" w:rsidRPr="004D58C9">
              <w:rPr>
                <w:rFonts w:asciiTheme="minorHAnsi" w:hAnsiTheme="minorHAnsi" w:cstheme="minorHAnsi"/>
                <w:color w:val="auto"/>
                <w:lang w:eastAsia="en-US"/>
              </w:rPr>
              <w:t xml:space="preserve">s and note </w:t>
            </w:r>
          </w:p>
        </w:tc>
      </w:tr>
      <w:tr w:rsidR="00606DF2" w:rsidRPr="004D58C9" w14:paraId="71583AC5" w14:textId="77777777" w:rsidTr="70C2815B">
        <w:trPr>
          <w:trHeight w:val="727"/>
        </w:trPr>
        <w:tc>
          <w:tcPr>
            <w:tcW w:w="3358"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2E05C0C8" w14:textId="77777777" w:rsidR="00606DF2" w:rsidRPr="004D58C9" w:rsidRDefault="00606DF2" w:rsidP="70C2815B">
            <w:pPr>
              <w:rPr>
                <w:rStyle w:val="Emphasis"/>
                <w:rFonts w:asciiTheme="minorHAnsi" w:hAnsiTheme="minorHAnsi" w:cstheme="minorHAnsi"/>
                <w:szCs w:val="24"/>
              </w:rPr>
            </w:pPr>
            <w:r w:rsidRPr="004D58C9">
              <w:rPr>
                <w:rStyle w:val="Emphasis"/>
                <w:rFonts w:asciiTheme="minorHAnsi" w:hAnsiTheme="minorHAnsi" w:cstheme="minorHAnsi"/>
                <w:szCs w:val="24"/>
              </w:rPr>
              <w:t>Author(s):</w:t>
            </w:r>
          </w:p>
        </w:tc>
        <w:tc>
          <w:tcPr>
            <w:tcW w:w="6418" w:type="dxa"/>
            <w:tcBorders>
              <w:top w:val="single" w:sz="4" w:space="0" w:color="auto"/>
              <w:left w:val="single" w:sz="4" w:space="0" w:color="auto"/>
              <w:bottom w:val="single" w:sz="4" w:space="0" w:color="auto"/>
              <w:right w:val="single" w:sz="4" w:space="0" w:color="auto"/>
            </w:tcBorders>
          </w:tcPr>
          <w:p w14:paraId="2DC172A7" w14:textId="5945061B" w:rsidR="00606DF2" w:rsidRPr="004D58C9" w:rsidRDefault="00EB0D0F" w:rsidP="70C2815B">
            <w:pPr>
              <w:rPr>
                <w:rFonts w:asciiTheme="minorHAnsi" w:hAnsiTheme="minorHAnsi" w:cstheme="minorHAnsi"/>
                <w:szCs w:val="24"/>
              </w:rPr>
            </w:pPr>
            <w:r w:rsidRPr="004D58C9">
              <w:rPr>
                <w:rFonts w:asciiTheme="minorHAnsi" w:hAnsiTheme="minorHAnsi" w:cstheme="minorHAnsi"/>
                <w:szCs w:val="24"/>
              </w:rPr>
              <w:t>Shane Devlin</w:t>
            </w:r>
          </w:p>
        </w:tc>
      </w:tr>
      <w:tr w:rsidR="00606DF2" w:rsidRPr="004D58C9" w14:paraId="53A8758F" w14:textId="77777777" w:rsidTr="70C2815B">
        <w:trPr>
          <w:trHeight w:val="727"/>
        </w:trPr>
        <w:tc>
          <w:tcPr>
            <w:tcW w:w="3358"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60D38A0E" w14:textId="77777777" w:rsidR="00606DF2" w:rsidRPr="004D58C9" w:rsidRDefault="00606DF2" w:rsidP="70C2815B">
            <w:pPr>
              <w:rPr>
                <w:rStyle w:val="Emphasis"/>
                <w:rFonts w:asciiTheme="minorHAnsi" w:hAnsiTheme="minorHAnsi" w:cstheme="minorHAnsi"/>
                <w:szCs w:val="24"/>
              </w:rPr>
            </w:pPr>
            <w:r w:rsidRPr="004D58C9">
              <w:rPr>
                <w:rStyle w:val="Emphasis"/>
                <w:rFonts w:asciiTheme="minorHAnsi" w:hAnsiTheme="minorHAnsi" w:cstheme="minorHAnsi"/>
                <w:szCs w:val="24"/>
              </w:rPr>
              <w:lastRenderedPageBreak/>
              <w:t>Sponsoring Director / Clinical Lead / Lay Member:</w:t>
            </w:r>
          </w:p>
        </w:tc>
        <w:tc>
          <w:tcPr>
            <w:tcW w:w="6418" w:type="dxa"/>
            <w:tcBorders>
              <w:top w:val="single" w:sz="4" w:space="0" w:color="auto"/>
              <w:left w:val="single" w:sz="4" w:space="0" w:color="auto"/>
              <w:bottom w:val="single" w:sz="4" w:space="0" w:color="auto"/>
              <w:right w:val="single" w:sz="4" w:space="0" w:color="auto"/>
            </w:tcBorders>
          </w:tcPr>
          <w:p w14:paraId="2E6429E8" w14:textId="072661A1" w:rsidR="00606DF2" w:rsidRPr="004D58C9" w:rsidRDefault="00EB0D0F" w:rsidP="70C2815B">
            <w:pPr>
              <w:rPr>
                <w:rFonts w:asciiTheme="minorHAnsi" w:hAnsiTheme="minorHAnsi" w:cstheme="minorHAnsi"/>
                <w:szCs w:val="24"/>
              </w:rPr>
            </w:pPr>
            <w:r w:rsidRPr="004D58C9">
              <w:rPr>
                <w:rFonts w:asciiTheme="minorHAnsi" w:hAnsiTheme="minorHAnsi" w:cstheme="minorHAnsi"/>
                <w:szCs w:val="24"/>
              </w:rPr>
              <w:t>Shane Devlin</w:t>
            </w:r>
          </w:p>
        </w:tc>
      </w:tr>
    </w:tbl>
    <w:p w14:paraId="574E7E6F" w14:textId="77777777" w:rsidR="0016124A" w:rsidRPr="004D58C9" w:rsidRDefault="0016124A" w:rsidP="00F427E1">
      <w:pPr>
        <w:pStyle w:val="Heading2"/>
        <w:rPr>
          <w:rFonts w:asciiTheme="minorHAnsi" w:hAnsiTheme="minorHAnsi" w:cstheme="minorHAnsi"/>
        </w:rPr>
      </w:pPr>
    </w:p>
    <w:p w14:paraId="55AA4482" w14:textId="77777777" w:rsidR="0016124A" w:rsidRPr="004D58C9" w:rsidRDefault="0016124A">
      <w:pPr>
        <w:spacing w:after="160" w:line="22" w:lineRule="auto"/>
        <w:rPr>
          <w:rFonts w:asciiTheme="minorHAnsi" w:eastAsia="Times New Roman" w:hAnsiTheme="minorHAnsi" w:cstheme="minorHAnsi"/>
          <w:b/>
          <w:bCs/>
          <w:color w:val="1C1F63" w:themeColor="text1"/>
          <w:sz w:val="36"/>
          <w:szCs w:val="36"/>
        </w:rPr>
      </w:pPr>
      <w:r w:rsidRPr="004D58C9">
        <w:rPr>
          <w:rFonts w:asciiTheme="minorHAnsi" w:hAnsiTheme="minorHAnsi" w:cstheme="minorHAnsi"/>
        </w:rPr>
        <w:br w:type="page"/>
      </w:r>
    </w:p>
    <w:p w14:paraId="7A8DCCBE" w14:textId="4CA54EF1" w:rsidR="00F427E1" w:rsidRPr="004D58C9" w:rsidRDefault="00F427E1" w:rsidP="00F427E1">
      <w:pPr>
        <w:pStyle w:val="Heading2"/>
        <w:rPr>
          <w:rFonts w:asciiTheme="minorHAnsi" w:hAnsiTheme="minorHAnsi" w:cstheme="minorHAnsi"/>
        </w:rPr>
      </w:pPr>
      <w:r w:rsidRPr="004D58C9">
        <w:rPr>
          <w:rFonts w:asciiTheme="minorHAnsi" w:hAnsiTheme="minorHAnsi" w:cstheme="minorHAnsi"/>
        </w:rPr>
        <w:lastRenderedPageBreak/>
        <w:t>Agenda item:</w:t>
      </w:r>
      <w:r w:rsidR="5D71067D" w:rsidRPr="004D58C9">
        <w:rPr>
          <w:rFonts w:asciiTheme="minorHAnsi" w:hAnsiTheme="minorHAnsi" w:cstheme="minorHAnsi"/>
        </w:rPr>
        <w:t xml:space="preserve"> </w:t>
      </w:r>
      <w:r w:rsidR="00FC4755" w:rsidRPr="004D58C9">
        <w:rPr>
          <w:rFonts w:asciiTheme="minorHAnsi" w:hAnsiTheme="minorHAnsi" w:cstheme="minorHAnsi"/>
        </w:rPr>
        <w:t>5</w:t>
      </w:r>
      <w:r w:rsidR="0C92FC31" w:rsidRPr="004D58C9">
        <w:rPr>
          <w:rFonts w:asciiTheme="minorHAnsi" w:hAnsiTheme="minorHAnsi" w:cstheme="minorHAnsi"/>
        </w:rPr>
        <w:t xml:space="preserve"> </w:t>
      </w:r>
    </w:p>
    <w:p w14:paraId="2CF48A4A" w14:textId="77777777" w:rsidR="00F427E1" w:rsidRPr="004D58C9" w:rsidRDefault="00F427E1" w:rsidP="00F427E1">
      <w:pPr>
        <w:pStyle w:val="Heading2"/>
        <w:rPr>
          <w:rFonts w:asciiTheme="minorHAnsi" w:hAnsiTheme="minorHAnsi" w:cstheme="minorHAnsi"/>
        </w:rPr>
      </w:pPr>
      <w:r w:rsidRPr="004D58C9">
        <w:rPr>
          <w:rFonts w:asciiTheme="minorHAnsi" w:hAnsiTheme="minorHAnsi" w:cstheme="minorHAnsi"/>
        </w:rPr>
        <w:t>Report title: Chief Executive Report</w:t>
      </w:r>
    </w:p>
    <w:p w14:paraId="00B2C559" w14:textId="3C69F6B3" w:rsidR="00606DF2" w:rsidRPr="004D58C9" w:rsidRDefault="00F427E1" w:rsidP="00556CA4">
      <w:pPr>
        <w:spacing w:before="340"/>
        <w:jc w:val="both"/>
        <w:rPr>
          <w:rFonts w:asciiTheme="minorHAnsi" w:hAnsiTheme="minorHAnsi" w:cstheme="minorHAnsi"/>
          <w:b/>
          <w:bCs/>
          <w:color w:val="1C1F63" w:themeColor="accent3"/>
          <w:sz w:val="32"/>
          <w:szCs w:val="28"/>
        </w:rPr>
      </w:pPr>
      <w:r w:rsidRPr="004D58C9">
        <w:rPr>
          <w:rFonts w:asciiTheme="minorHAnsi" w:hAnsiTheme="minorHAnsi" w:cstheme="minorHAnsi"/>
          <w:b/>
          <w:bCs/>
          <w:color w:val="1C1F63" w:themeColor="accent3"/>
          <w:sz w:val="32"/>
          <w:szCs w:val="28"/>
        </w:rPr>
        <w:t>Introduction</w:t>
      </w:r>
    </w:p>
    <w:p w14:paraId="66A8E443" w14:textId="21E9EEE3" w:rsidR="0016124A" w:rsidRPr="00401700" w:rsidRDefault="0016124A" w:rsidP="00556CA4">
      <w:pPr>
        <w:jc w:val="both"/>
        <w:rPr>
          <w:rFonts w:asciiTheme="minorHAnsi" w:eastAsia="Times New Roman" w:hAnsiTheme="minorHAnsi" w:cstheme="minorHAnsi"/>
          <w:color w:val="000000"/>
          <w:kern w:val="24"/>
          <w:szCs w:val="24"/>
          <w:lang w:eastAsia="en-GB"/>
        </w:rPr>
      </w:pPr>
      <w:r w:rsidRPr="00401700">
        <w:rPr>
          <w:rFonts w:asciiTheme="minorHAnsi" w:eastAsia="Times New Roman" w:hAnsiTheme="minorHAnsi" w:cstheme="minorHAnsi"/>
          <w:color w:val="000000"/>
          <w:kern w:val="24"/>
          <w:szCs w:val="24"/>
          <w:lang w:eastAsia="en-GB"/>
        </w:rPr>
        <w:t>The purpose of this paper is to provide the Integrated Care Board meeting with an update of key issues, from the Chief Executive’s perspective, of importance to the successful delivery of the ICB’s aims and objectives</w:t>
      </w:r>
      <w:r w:rsidR="2A8A92AB" w:rsidRPr="00401700">
        <w:rPr>
          <w:rFonts w:asciiTheme="minorHAnsi" w:eastAsia="Times New Roman" w:hAnsiTheme="minorHAnsi" w:cstheme="minorHAnsi"/>
          <w:color w:val="000000"/>
          <w:kern w:val="24"/>
          <w:szCs w:val="24"/>
          <w:lang w:eastAsia="en-GB"/>
        </w:rPr>
        <w:t xml:space="preserve">. </w:t>
      </w:r>
    </w:p>
    <w:p w14:paraId="53CCCF96" w14:textId="77777777" w:rsidR="00911FB4" w:rsidRPr="00401700" w:rsidRDefault="0016124A" w:rsidP="00556CA4">
      <w:pPr>
        <w:jc w:val="both"/>
        <w:rPr>
          <w:rFonts w:asciiTheme="minorHAnsi" w:eastAsia="Times New Roman" w:hAnsiTheme="minorHAnsi" w:cstheme="minorHAnsi"/>
          <w:color w:val="000000"/>
          <w:kern w:val="24"/>
          <w:szCs w:val="24"/>
          <w:lang w:eastAsia="en-GB"/>
        </w:rPr>
      </w:pPr>
      <w:r w:rsidRPr="00401700">
        <w:rPr>
          <w:rFonts w:asciiTheme="minorHAnsi" w:eastAsia="Times New Roman" w:hAnsiTheme="minorHAnsi" w:cstheme="minorHAnsi"/>
          <w:color w:val="000000"/>
          <w:kern w:val="24"/>
          <w:szCs w:val="24"/>
          <w:lang w:eastAsia="en-GB"/>
        </w:rPr>
        <w:t xml:space="preserve">The </w:t>
      </w:r>
      <w:bookmarkStart w:id="2" w:name="_Int_pT1S8pqk"/>
      <w:r w:rsidRPr="00401700">
        <w:rPr>
          <w:rFonts w:asciiTheme="minorHAnsi" w:eastAsia="Times New Roman" w:hAnsiTheme="minorHAnsi" w:cstheme="minorHAnsi"/>
          <w:color w:val="000000"/>
          <w:kern w:val="24"/>
          <w:szCs w:val="24"/>
          <w:lang w:eastAsia="en-GB"/>
        </w:rPr>
        <w:t>main areas</w:t>
      </w:r>
      <w:bookmarkEnd w:id="2"/>
      <w:r w:rsidRPr="00401700">
        <w:rPr>
          <w:rFonts w:asciiTheme="minorHAnsi" w:eastAsia="Times New Roman" w:hAnsiTheme="minorHAnsi" w:cstheme="minorHAnsi"/>
          <w:color w:val="000000"/>
          <w:kern w:val="24"/>
          <w:szCs w:val="24"/>
          <w:lang w:eastAsia="en-GB"/>
        </w:rPr>
        <w:t xml:space="preserve"> of discussion this month are;</w:t>
      </w:r>
    </w:p>
    <w:p w14:paraId="6B9CA890" w14:textId="77777777" w:rsidR="00E745B4" w:rsidRDefault="00E745B4" w:rsidP="00556CA4">
      <w:pPr>
        <w:pStyle w:val="ListParagraph"/>
        <w:numPr>
          <w:ilvl w:val="0"/>
          <w:numId w:val="3"/>
        </w:numPr>
        <w:jc w:val="both"/>
        <w:rPr>
          <w:rFonts w:asciiTheme="minorHAnsi" w:hAnsiTheme="minorHAnsi" w:cstheme="minorHAnsi"/>
          <w:szCs w:val="24"/>
        </w:rPr>
      </w:pPr>
      <w:r w:rsidRPr="000E139B">
        <w:rPr>
          <w:rFonts w:asciiTheme="minorHAnsi" w:hAnsiTheme="minorHAnsi" w:cstheme="minorHAnsi"/>
          <w:szCs w:val="24"/>
        </w:rPr>
        <w:t xml:space="preserve">ICB </w:t>
      </w:r>
      <w:r>
        <w:rPr>
          <w:rFonts w:asciiTheme="minorHAnsi" w:hAnsiTheme="minorHAnsi" w:cstheme="minorHAnsi"/>
          <w:szCs w:val="24"/>
        </w:rPr>
        <w:t xml:space="preserve">Organisational Changes </w:t>
      </w:r>
    </w:p>
    <w:p w14:paraId="73FB9193" w14:textId="77777777" w:rsidR="00E745B4" w:rsidRDefault="00E745B4" w:rsidP="00556CA4">
      <w:pPr>
        <w:pStyle w:val="ListParagraph"/>
        <w:numPr>
          <w:ilvl w:val="0"/>
          <w:numId w:val="3"/>
        </w:numPr>
        <w:jc w:val="both"/>
        <w:rPr>
          <w:rFonts w:asciiTheme="minorHAnsi" w:hAnsiTheme="minorHAnsi" w:cstheme="minorHAnsi"/>
          <w:szCs w:val="24"/>
        </w:rPr>
      </w:pPr>
      <w:r>
        <w:rPr>
          <w:rFonts w:asciiTheme="minorHAnsi" w:hAnsiTheme="minorHAnsi" w:cstheme="minorHAnsi"/>
          <w:szCs w:val="24"/>
        </w:rPr>
        <w:t>Neighbourhood Health National Visit</w:t>
      </w:r>
    </w:p>
    <w:p w14:paraId="150C9896" w14:textId="77777777" w:rsidR="00E745B4" w:rsidRPr="000E139B" w:rsidRDefault="00E745B4" w:rsidP="00556CA4">
      <w:pPr>
        <w:pStyle w:val="ListParagraph"/>
        <w:numPr>
          <w:ilvl w:val="0"/>
          <w:numId w:val="3"/>
        </w:numPr>
        <w:jc w:val="both"/>
        <w:rPr>
          <w:rFonts w:asciiTheme="minorHAnsi" w:hAnsiTheme="minorHAnsi" w:cstheme="minorHAnsi"/>
          <w:szCs w:val="24"/>
        </w:rPr>
      </w:pPr>
      <w:r>
        <w:rPr>
          <w:rFonts w:asciiTheme="minorHAnsi" w:hAnsiTheme="minorHAnsi" w:cstheme="minorHAnsi"/>
          <w:szCs w:val="24"/>
        </w:rPr>
        <w:t>Preparing for Merger</w:t>
      </w:r>
    </w:p>
    <w:p w14:paraId="28420FEC" w14:textId="77777777" w:rsidR="004B0115" w:rsidRPr="00401700" w:rsidRDefault="004B0115" w:rsidP="00556CA4">
      <w:pPr>
        <w:spacing w:after="160" w:line="240" w:lineRule="auto"/>
        <w:contextualSpacing/>
        <w:jc w:val="both"/>
        <w:rPr>
          <w:rFonts w:asciiTheme="minorHAnsi" w:hAnsiTheme="minorHAnsi" w:cstheme="minorHAnsi"/>
          <w:b/>
          <w:bCs/>
          <w:szCs w:val="24"/>
        </w:rPr>
      </w:pPr>
    </w:p>
    <w:p w14:paraId="617AD7EE" w14:textId="00ADF241" w:rsidR="00E1507D" w:rsidRPr="00230E66" w:rsidRDefault="000E139B" w:rsidP="00556CA4">
      <w:pPr>
        <w:spacing w:after="160" w:line="240" w:lineRule="auto"/>
        <w:contextualSpacing/>
        <w:jc w:val="both"/>
        <w:rPr>
          <w:rFonts w:asciiTheme="minorHAnsi" w:hAnsiTheme="minorHAnsi" w:cstheme="minorHAnsi"/>
          <w:b/>
          <w:bCs/>
          <w:sz w:val="28"/>
          <w:szCs w:val="28"/>
          <w:u w:val="single"/>
        </w:rPr>
      </w:pPr>
      <w:r w:rsidRPr="00230E66">
        <w:rPr>
          <w:rFonts w:asciiTheme="minorHAnsi" w:hAnsiTheme="minorHAnsi" w:cstheme="minorHAnsi"/>
          <w:b/>
          <w:bCs/>
          <w:sz w:val="28"/>
          <w:szCs w:val="28"/>
          <w:u w:val="single"/>
        </w:rPr>
        <w:t>ICB Organisational Changes</w:t>
      </w:r>
    </w:p>
    <w:p w14:paraId="0342A82C" w14:textId="252620C1" w:rsidR="00FA37D8" w:rsidRDefault="00FA37D8" w:rsidP="00556CA4">
      <w:pPr>
        <w:spacing w:after="160" w:line="240" w:lineRule="auto"/>
        <w:contextualSpacing/>
        <w:jc w:val="both"/>
        <w:rPr>
          <w:rFonts w:asciiTheme="minorHAnsi" w:hAnsiTheme="minorHAnsi" w:cstheme="minorHAnsi"/>
          <w:b/>
          <w:bCs/>
          <w:szCs w:val="24"/>
        </w:rPr>
      </w:pPr>
    </w:p>
    <w:p w14:paraId="6521944C" w14:textId="77777777" w:rsidR="00913BF0" w:rsidRDefault="002E297F" w:rsidP="00556CA4">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The transition programme remains broadly on track, with directorate structures due to launch from the beginning of September, subject to the completion of recruitment activity over the summer. HR processes are progressing in line with the organisational change plan, including the management of appeals, recruitment to new roles and quality assurance of selection decisions. Voluntary redundancy arrangements are also continuing, with most approved exits expected by 31 August 2026. </w:t>
      </w:r>
    </w:p>
    <w:p w14:paraId="7EED69B4" w14:textId="0C138D54" w:rsidR="002E297F" w:rsidRDefault="002E297F" w:rsidP="00556CA4">
      <w:pPr>
        <w:pStyle w:val="paragraph"/>
        <w:spacing w:before="0" w:beforeAutospacing="0" w:after="0" w:afterAutospacing="0"/>
        <w:jc w:val="both"/>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595BE193" wp14:editId="3A6681EC">
            <wp:extent cx="6115050" cy="306711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3067110"/>
                    </a:xfrm>
                    <a:prstGeom prst="rect">
                      <a:avLst/>
                    </a:prstGeom>
                    <a:noFill/>
                    <a:ln>
                      <a:noFill/>
                    </a:ln>
                  </pic:spPr>
                </pic:pic>
              </a:graphicData>
            </a:graphic>
          </wp:inline>
        </w:drawing>
      </w:r>
      <w:r>
        <w:rPr>
          <w:rStyle w:val="eop"/>
          <w:rFonts w:ascii="Arial" w:hAnsi="Arial" w:cs="Arial"/>
          <w:bdr w:val="none" w:sz="0" w:space="0" w:color="auto" w:frame="1"/>
          <w:shd w:val="clear" w:color="auto" w:fill="C6C6C6"/>
        </w:rPr>
        <w:t> </w:t>
      </w:r>
    </w:p>
    <w:p w14:paraId="74FD1FCA" w14:textId="4A06AFE3" w:rsidR="002E297F" w:rsidRDefault="002E297F" w:rsidP="00556CA4">
      <w:pPr>
        <w:pStyle w:val="paragraph"/>
        <w:spacing w:before="0" w:beforeAutospacing="0" w:after="0" w:afterAutospacing="0"/>
        <w:jc w:val="both"/>
        <w:textAlignment w:val="baseline"/>
        <w:rPr>
          <w:rStyle w:val="eop"/>
          <w:rFonts w:ascii="Arial" w:hAnsi="Arial" w:cs="Arial"/>
          <w:bdr w:val="none" w:sz="0" w:space="0" w:color="auto" w:frame="1"/>
          <w:shd w:val="clear" w:color="auto" w:fill="C6C6C6"/>
        </w:rPr>
      </w:pPr>
      <w:r>
        <w:rPr>
          <w:rStyle w:val="normaltextrun"/>
          <w:rFonts w:ascii="Arial" w:hAnsi="Arial" w:cs="Arial"/>
        </w:rPr>
        <w:t>A summary timeline diagram is included to show the key milestones through to launch and to give a clear view of the scale of activity underway. This includes 40 appeals received, 29 heard to date, with the remaining appeals scheduled, and 165 staff currently expected to exit through voluntary redundancy across rounds one and two.</w:t>
      </w:r>
    </w:p>
    <w:p w14:paraId="11151D09" w14:textId="77777777" w:rsidR="00913BF0" w:rsidRDefault="00913BF0" w:rsidP="00556CA4">
      <w:pPr>
        <w:pStyle w:val="paragraph"/>
        <w:spacing w:before="0" w:beforeAutospacing="0" w:after="0" w:afterAutospacing="0"/>
        <w:jc w:val="both"/>
        <w:textAlignment w:val="baseline"/>
        <w:rPr>
          <w:rFonts w:ascii="Segoe UI" w:hAnsi="Segoe UI" w:cs="Segoe UI"/>
          <w:sz w:val="18"/>
          <w:szCs w:val="18"/>
        </w:rPr>
      </w:pPr>
    </w:p>
    <w:p w14:paraId="2DB97CE6" w14:textId="77777777" w:rsidR="002E297F" w:rsidRPr="00B06AD1" w:rsidRDefault="002E297F" w:rsidP="00556CA4">
      <w:pPr>
        <w:spacing w:after="160" w:line="240" w:lineRule="auto"/>
        <w:contextualSpacing/>
        <w:jc w:val="both"/>
        <w:rPr>
          <w:rStyle w:val="normaltextrun"/>
          <w:rFonts w:eastAsia="Times New Roman"/>
          <w:b/>
          <w:bCs/>
          <w:lang w:eastAsia="en-GB"/>
        </w:rPr>
      </w:pPr>
      <w:r w:rsidRPr="00B06AD1">
        <w:rPr>
          <w:rStyle w:val="normaltextrun"/>
          <w:rFonts w:eastAsia="Times New Roman" w:cs="Arial"/>
          <w:b/>
          <w:bCs/>
          <w:lang w:eastAsia="en-GB"/>
        </w:rPr>
        <w:lastRenderedPageBreak/>
        <w:t>Services and functions ceasing as part of cluster transition programme</w:t>
      </w:r>
      <w:r w:rsidRPr="00B06AD1">
        <w:rPr>
          <w:rStyle w:val="normaltextrun"/>
          <w:rFonts w:eastAsia="Times New Roman"/>
          <w:b/>
          <w:bCs/>
          <w:lang w:eastAsia="en-GB"/>
        </w:rPr>
        <w:t> </w:t>
      </w:r>
    </w:p>
    <w:p w14:paraId="3940C195" w14:textId="77777777" w:rsidR="00FB039D" w:rsidRDefault="00FB039D" w:rsidP="00556CA4">
      <w:pPr>
        <w:pStyle w:val="paragraph"/>
        <w:spacing w:before="0" w:beforeAutospacing="0" w:after="0" w:afterAutospacing="0"/>
        <w:jc w:val="both"/>
        <w:textAlignment w:val="baseline"/>
        <w:rPr>
          <w:rFonts w:ascii="Segoe UI" w:hAnsi="Segoe UI" w:cs="Segoe UI"/>
          <w:sz w:val="18"/>
          <w:szCs w:val="18"/>
        </w:rPr>
      </w:pPr>
    </w:p>
    <w:p w14:paraId="3AE9C0CE" w14:textId="5A5B04D7" w:rsidR="002E297F" w:rsidRDefault="002E297F" w:rsidP="00556CA4">
      <w:pPr>
        <w:pStyle w:val="paragraph"/>
        <w:spacing w:before="0" w:beforeAutospacing="0" w:after="0" w:afterAutospacing="0"/>
        <w:jc w:val="both"/>
        <w:textAlignment w:val="baseline"/>
        <w:rPr>
          <w:rFonts w:asciiTheme="minorHAnsi" w:hAnsiTheme="minorHAnsi" w:cstheme="minorHAnsi"/>
        </w:rPr>
      </w:pPr>
      <w:r>
        <w:rPr>
          <w:rStyle w:val="normaltextrun"/>
          <w:rFonts w:ascii="Arial" w:hAnsi="Arial" w:cs="Arial"/>
        </w:rPr>
        <w:t>The programme is also overseeing the safe closure of services and functions that do not form part of the future operating model, are no longer funded, or are required to stop following national direction. Most closures are expected to complete by 31 August 2026, although some transition activity may continue beyond this where required. A structured oversight process is in place to confirm closure dates, safe completion arrangements, stakeholder communications, equality and quality considerations, workforce implications and key risks or dependencies. Assurance liability remains with the relevant Executive Team members and nominated Senior Responsible Owners, with the transition programme providing visibility, coordination and escalation support. The Referral Support Service remains the area with the greatest residual risk and requires continued executive oversight, particularly in relation to interim mitigation, closure timing, SRO accountability and stakeholder communications.</w:t>
      </w:r>
      <w:r>
        <w:rPr>
          <w:rStyle w:val="eop"/>
          <w:rFonts w:ascii="Arial" w:hAnsi="Arial" w:cs="Arial"/>
        </w:rPr>
        <w:t> </w:t>
      </w:r>
    </w:p>
    <w:p w14:paraId="6A080942" w14:textId="3789FC22" w:rsidR="00124E6E" w:rsidRDefault="00124E6E" w:rsidP="00556CA4">
      <w:pPr>
        <w:pStyle w:val="paragraph"/>
        <w:spacing w:before="0" w:beforeAutospacing="0" w:after="0" w:afterAutospacing="0"/>
        <w:jc w:val="both"/>
        <w:textAlignment w:val="baseline"/>
        <w:rPr>
          <w:rStyle w:val="eop"/>
          <w:rFonts w:ascii="Arial" w:hAnsi="Arial" w:cs="Arial"/>
          <w:bdr w:val="none" w:sz="0" w:space="0" w:color="auto" w:frame="1"/>
          <w:shd w:val="clear" w:color="auto" w:fill="C6C6C6"/>
        </w:rPr>
      </w:pPr>
    </w:p>
    <w:p w14:paraId="69909098" w14:textId="2F94B284" w:rsidR="00124E6E" w:rsidRPr="00124E6E" w:rsidRDefault="00124E6E" w:rsidP="00556CA4">
      <w:pPr>
        <w:spacing w:after="160" w:line="240" w:lineRule="auto"/>
        <w:contextualSpacing/>
        <w:jc w:val="both"/>
        <w:rPr>
          <w:rStyle w:val="normaltextrun"/>
          <w:rFonts w:eastAsia="Times New Roman" w:cs="Arial"/>
          <w:b/>
          <w:bCs/>
          <w:lang w:eastAsia="en-GB"/>
        </w:rPr>
      </w:pPr>
      <w:r w:rsidRPr="00124E6E">
        <w:rPr>
          <w:rStyle w:val="normaltextrun"/>
          <w:rFonts w:eastAsia="Times New Roman" w:cs="Arial"/>
          <w:b/>
          <w:bCs/>
          <w:lang w:eastAsia="en-GB"/>
        </w:rPr>
        <w:t xml:space="preserve">Clinical Leadership Model </w:t>
      </w:r>
    </w:p>
    <w:p w14:paraId="27E117D2" w14:textId="4B032991" w:rsidR="00B1762A" w:rsidRDefault="00B1762A" w:rsidP="00556CA4">
      <w:pPr>
        <w:pStyle w:val="paragraph"/>
        <w:spacing w:before="0" w:beforeAutospacing="0" w:after="0" w:afterAutospacing="0"/>
        <w:jc w:val="both"/>
        <w:textAlignment w:val="baseline"/>
        <w:rPr>
          <w:rStyle w:val="eop"/>
          <w:rFonts w:ascii="Arial" w:hAnsi="Arial" w:cs="Arial"/>
          <w:bdr w:val="none" w:sz="0" w:space="0" w:color="auto" w:frame="1"/>
          <w:shd w:val="clear" w:color="auto" w:fill="C6C6C6"/>
        </w:rPr>
      </w:pPr>
      <w:r>
        <w:rPr>
          <w:rStyle w:val="normaltextrun"/>
          <w:rFonts w:ascii="Arial" w:hAnsi="Arial" w:cs="Arial"/>
        </w:rPr>
        <w:t>The clinical and care professional leadership review is being undertaken to ensure the future model supports the ICB’s role as a streamlined strategic commissioner, aligned to the Model ICB Blueprint, the Strategic Commissioning Framework and the NHS 10-Year Health Plan. Current arrangements across Gloucestershire and BNSSG differ in structure, employment model and commissioning route, and the review has identified the need for a single, consistent cluster model that is affordable, multidisciplinary, flexible, targeted on organisational priorities, focused on population health and health inequalities, and embedded in the strategic commissioning cycle.</w:t>
      </w:r>
    </w:p>
    <w:p w14:paraId="6F452757" w14:textId="77777777" w:rsidR="00124E6E" w:rsidRDefault="00124E6E" w:rsidP="00556CA4">
      <w:pPr>
        <w:pStyle w:val="paragraph"/>
        <w:spacing w:before="0" w:beforeAutospacing="0" w:after="0" w:afterAutospacing="0"/>
        <w:jc w:val="both"/>
        <w:textAlignment w:val="baseline"/>
        <w:rPr>
          <w:rFonts w:ascii="Segoe UI" w:hAnsi="Segoe UI" w:cs="Segoe UI"/>
          <w:sz w:val="18"/>
          <w:szCs w:val="18"/>
        </w:rPr>
      </w:pPr>
    </w:p>
    <w:p w14:paraId="015BAE42" w14:textId="77777777" w:rsidR="00B1762A" w:rsidRDefault="00B1762A" w:rsidP="00556CA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An internal working group and external reference group have supported the review, with representatives from across ICB functions, clinical leadership, primary care, secondary care and the wider South West system. Three delivery options were developed: a directly employed model, a mixed model and a fully externally commissioned model. The Executive Team is proposing the mixed model as the preferred option for further development. This would retain some directly employed clinical and care professional leadership for specific ICB functions and priorities, with additional flexible resource externally commissioned. The current budget across Gloucestershire and BNSSG is circa £1.6m, with a requirement to reduce the envelope to £1.1m. This is in line with savings requirements that the ICB as a whole has had to deliver. Once the preferred model is confirmed, further technical work will be undertaken with finance, HR and procurement expertise, including consultation with affected staff in autumn 2026 and further equality impact assessment work.</w:t>
      </w:r>
      <w:r>
        <w:rPr>
          <w:rStyle w:val="eop"/>
          <w:rFonts w:ascii="Arial" w:hAnsi="Arial" w:cs="Arial"/>
        </w:rPr>
        <w:t> </w:t>
      </w:r>
    </w:p>
    <w:p w14:paraId="412C5933" w14:textId="77777777" w:rsidR="002E6C91" w:rsidRDefault="002E6C91" w:rsidP="00556CA4">
      <w:pPr>
        <w:pStyle w:val="paragraph"/>
        <w:spacing w:before="0" w:beforeAutospacing="0" w:after="0" w:afterAutospacing="0"/>
        <w:jc w:val="both"/>
        <w:textAlignment w:val="baseline"/>
        <w:rPr>
          <w:rStyle w:val="normaltextrun"/>
          <w:rFonts w:ascii="Arial Black" w:hAnsi="Arial Black" w:cs="Segoe UI"/>
          <w:b/>
          <w:bCs/>
          <w:color w:val="1C1F63"/>
          <w:sz w:val="36"/>
          <w:szCs w:val="36"/>
        </w:rPr>
      </w:pPr>
    </w:p>
    <w:p w14:paraId="3538BAB9" w14:textId="441DAAC0" w:rsidR="00B1762A" w:rsidRPr="002E6C91" w:rsidRDefault="00B1762A" w:rsidP="00556CA4">
      <w:pPr>
        <w:spacing w:after="160" w:line="240" w:lineRule="auto"/>
        <w:contextualSpacing/>
        <w:jc w:val="both"/>
        <w:rPr>
          <w:rStyle w:val="normaltextrun"/>
          <w:rFonts w:eastAsia="Times New Roman" w:cs="Arial"/>
          <w:lang w:eastAsia="en-GB"/>
        </w:rPr>
      </w:pPr>
      <w:r w:rsidRPr="002E6C91">
        <w:rPr>
          <w:rStyle w:val="normaltextrun"/>
          <w:rFonts w:eastAsia="Times New Roman" w:cs="Arial"/>
          <w:b/>
          <w:bCs/>
          <w:lang w:eastAsia="en-GB"/>
        </w:rPr>
        <w:t>CSU Update</w:t>
      </w:r>
      <w:r w:rsidRPr="002E6C91">
        <w:rPr>
          <w:rStyle w:val="normaltextrun"/>
          <w:rFonts w:eastAsia="Times New Roman" w:cs="Arial"/>
          <w:lang w:eastAsia="en-GB"/>
        </w:rPr>
        <w:t> </w:t>
      </w:r>
    </w:p>
    <w:p w14:paraId="5C600D25" w14:textId="3C285BA0" w:rsidR="00B1762A" w:rsidRDefault="00B1762A" w:rsidP="00556CA4">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CSU transition activity continues to progress, with a number of services either on track, transferred or in-housed. Several options papers and proposed routes are now being worked through for services requiring future hosting or procurement decisions</w:t>
      </w:r>
      <w:r w:rsidR="00311AF5">
        <w:rPr>
          <w:rStyle w:val="normaltextrun"/>
          <w:rFonts w:ascii="Arial" w:hAnsi="Arial" w:cs="Arial"/>
        </w:rPr>
        <w:t xml:space="preserve">.  </w:t>
      </w:r>
    </w:p>
    <w:p w14:paraId="5A97D157" w14:textId="77777777" w:rsidR="00311AF5" w:rsidRPr="00913BF0" w:rsidRDefault="00311AF5" w:rsidP="00556CA4">
      <w:pPr>
        <w:pStyle w:val="paragraph"/>
        <w:spacing w:before="0" w:beforeAutospacing="0" w:after="0" w:afterAutospacing="0"/>
        <w:jc w:val="both"/>
        <w:textAlignment w:val="baseline"/>
        <w:rPr>
          <w:rStyle w:val="normaltextrun"/>
          <w:rFonts w:ascii="Arial" w:hAnsi="Arial" w:cs="Arial"/>
        </w:rPr>
      </w:pPr>
    </w:p>
    <w:p w14:paraId="6BE523C9" w14:textId="77777777" w:rsidR="00B1762A" w:rsidRDefault="00B1762A" w:rsidP="00556CA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Some areas remain complex or dependent on wider regional or national decisions, particularly infrastructure, networks, data centres and services linked to future national offers. These dependencies have potential implications for related services and will require </w:t>
      </w:r>
      <w:r>
        <w:rPr>
          <w:rStyle w:val="normaltextrun"/>
          <w:rFonts w:ascii="Arial" w:hAnsi="Arial" w:cs="Arial"/>
        </w:rPr>
        <w:lastRenderedPageBreak/>
        <w:t>continued executive oversight, escalation where needed, and careful consideration of procurement, value and delivery risks.</w:t>
      </w:r>
    </w:p>
    <w:p w14:paraId="6C727E19" w14:textId="77777777" w:rsidR="00FA37D8" w:rsidRDefault="00FA37D8" w:rsidP="00556CA4">
      <w:pPr>
        <w:spacing w:after="160" w:line="240" w:lineRule="auto"/>
        <w:contextualSpacing/>
        <w:jc w:val="both"/>
        <w:rPr>
          <w:rFonts w:asciiTheme="minorHAnsi" w:hAnsiTheme="minorHAnsi" w:cstheme="minorHAnsi"/>
          <w:szCs w:val="24"/>
        </w:rPr>
      </w:pPr>
    </w:p>
    <w:p w14:paraId="67F51AD0" w14:textId="34A78479" w:rsidR="004F5471" w:rsidRDefault="00FB015C" w:rsidP="00556CA4">
      <w:pPr>
        <w:spacing w:after="160" w:line="240" w:lineRule="auto"/>
        <w:contextualSpacing/>
        <w:jc w:val="both"/>
        <w:rPr>
          <w:rFonts w:asciiTheme="minorHAnsi" w:hAnsiTheme="minorHAnsi" w:cstheme="minorHAnsi"/>
          <w:b/>
          <w:bCs/>
          <w:sz w:val="28"/>
          <w:szCs w:val="28"/>
          <w:u w:val="single"/>
        </w:rPr>
      </w:pPr>
      <w:r w:rsidRPr="00FB015C">
        <w:rPr>
          <w:rFonts w:asciiTheme="minorHAnsi" w:hAnsiTheme="minorHAnsi" w:cstheme="minorHAnsi"/>
          <w:b/>
          <w:bCs/>
          <w:sz w:val="28"/>
          <w:szCs w:val="28"/>
          <w:u w:val="single"/>
        </w:rPr>
        <w:t>Neighbourhood Health National Visit</w:t>
      </w:r>
    </w:p>
    <w:p w14:paraId="30E4ACF9" w14:textId="77777777" w:rsidR="00F90407" w:rsidRDefault="00F90407" w:rsidP="00556CA4">
      <w:pPr>
        <w:spacing w:after="160" w:line="240" w:lineRule="auto"/>
        <w:contextualSpacing/>
        <w:jc w:val="both"/>
        <w:rPr>
          <w:rFonts w:asciiTheme="minorHAnsi" w:hAnsiTheme="minorHAnsi" w:cstheme="minorHAnsi"/>
          <w:b/>
          <w:bCs/>
          <w:sz w:val="28"/>
          <w:szCs w:val="28"/>
          <w:u w:val="single"/>
        </w:rPr>
      </w:pPr>
    </w:p>
    <w:p w14:paraId="155D8A2D" w14:textId="2497EF63" w:rsidR="00F90407" w:rsidRDefault="0047437E" w:rsidP="00556CA4">
      <w:pPr>
        <w:spacing w:after="160" w:line="240" w:lineRule="auto"/>
        <w:contextualSpacing/>
        <w:jc w:val="both"/>
        <w:rPr>
          <w:rStyle w:val="normaltextrun"/>
          <w:rFonts w:eastAsia="Times New Roman" w:cs="Arial"/>
          <w:b/>
          <w:bCs/>
          <w:lang w:eastAsia="en-GB"/>
        </w:rPr>
      </w:pPr>
      <w:r w:rsidRPr="00F90407">
        <w:rPr>
          <w:rStyle w:val="normaltextrun"/>
          <w:rFonts w:eastAsia="Times New Roman" w:cs="Arial"/>
          <w:b/>
          <w:bCs/>
          <w:lang w:eastAsia="en-GB"/>
        </w:rPr>
        <w:t>Introduction</w:t>
      </w:r>
    </w:p>
    <w:p w14:paraId="66D3315E" w14:textId="77777777" w:rsidR="00926B18" w:rsidRDefault="00926B18" w:rsidP="00556CA4">
      <w:pPr>
        <w:spacing w:after="160" w:line="240" w:lineRule="auto"/>
        <w:contextualSpacing/>
        <w:jc w:val="both"/>
      </w:pPr>
    </w:p>
    <w:p w14:paraId="643F99C1" w14:textId="77777777" w:rsidR="00913BF0" w:rsidRDefault="0047437E" w:rsidP="00913BF0">
      <w:pPr>
        <w:pStyle w:val="paragraph"/>
        <w:spacing w:before="0" w:beforeAutospacing="0" w:after="0" w:afterAutospacing="0"/>
        <w:jc w:val="both"/>
        <w:textAlignment w:val="baseline"/>
        <w:rPr>
          <w:rStyle w:val="normaltextrun"/>
          <w:rFonts w:ascii="Arial" w:hAnsi="Arial" w:cs="Arial"/>
        </w:rPr>
      </w:pPr>
      <w:r w:rsidRPr="00913BF0">
        <w:rPr>
          <w:rStyle w:val="normaltextrun"/>
          <w:rFonts w:ascii="Arial" w:hAnsi="Arial" w:cs="Arial"/>
        </w:rPr>
        <w:t xml:space="preserve">On the 20th July 2026 the ICB Cluster hosted a visit from the National Lead for Neighbourhood health, Dr Claire Fuller.  The event, attended by over 80 participants, provided an opportunity for us to present our direction for, and achievements to date on, neighbourhood health.  This paper summarises the key messages from the event, covering the emerging cluster-wide approach across Bristol, North Somerset, South Gloucestershire and Gloucestershire ICB, with particular emphasis on population need, strategic commissioning ambitions, provider partnership arrangements, place-based delivery, early learning, risks and next steps. </w:t>
      </w:r>
    </w:p>
    <w:p w14:paraId="7FB09B17" w14:textId="77777777" w:rsidR="00913BF0" w:rsidRDefault="00913BF0" w:rsidP="00913BF0">
      <w:pPr>
        <w:pStyle w:val="paragraph"/>
        <w:spacing w:before="0" w:beforeAutospacing="0" w:after="0" w:afterAutospacing="0"/>
        <w:jc w:val="both"/>
        <w:textAlignment w:val="baseline"/>
        <w:rPr>
          <w:rStyle w:val="normaltextrun"/>
          <w:rFonts w:ascii="Arial" w:hAnsi="Arial" w:cs="Arial"/>
        </w:rPr>
      </w:pPr>
    </w:p>
    <w:p w14:paraId="436639C3" w14:textId="76FA698F" w:rsidR="00F90407" w:rsidRDefault="0047437E" w:rsidP="00913BF0">
      <w:pPr>
        <w:spacing w:after="160" w:line="240" w:lineRule="auto"/>
        <w:contextualSpacing/>
        <w:jc w:val="both"/>
        <w:rPr>
          <w:rStyle w:val="normaltextrun"/>
          <w:rFonts w:eastAsia="Times New Roman" w:cs="Arial"/>
          <w:b/>
          <w:bCs/>
          <w:lang w:eastAsia="en-GB"/>
        </w:rPr>
      </w:pPr>
      <w:r w:rsidRPr="00711BBB">
        <w:rPr>
          <w:rStyle w:val="normaltextrun"/>
          <w:rFonts w:eastAsia="Times New Roman" w:cs="Arial"/>
          <w:b/>
          <w:bCs/>
          <w:lang w:eastAsia="en-GB"/>
        </w:rPr>
        <w:t>Executive summary</w:t>
      </w:r>
    </w:p>
    <w:p w14:paraId="065BE542" w14:textId="77777777" w:rsidR="00913BF0" w:rsidRPr="00913BF0" w:rsidRDefault="00913BF0" w:rsidP="00913BF0">
      <w:pPr>
        <w:spacing w:after="160" w:line="240" w:lineRule="auto"/>
        <w:contextualSpacing/>
        <w:jc w:val="both"/>
        <w:rPr>
          <w:rStyle w:val="normaltextrun"/>
          <w:rFonts w:eastAsia="Times New Roman" w:cs="Arial"/>
          <w:b/>
          <w:bCs/>
          <w:lang w:eastAsia="en-GB"/>
        </w:rPr>
      </w:pPr>
    </w:p>
    <w:p w14:paraId="6C97D1B8" w14:textId="203A3797" w:rsidR="0047437E" w:rsidRPr="00913BF0" w:rsidRDefault="0047437E" w:rsidP="00913BF0">
      <w:pPr>
        <w:jc w:val="both"/>
      </w:pPr>
      <w:r w:rsidRPr="00913BF0">
        <w:t xml:space="preserve">The presentations set out a clear case for neighbourhood health as a core part of the future cluster operating model. The central argument is that need is unevenly distributed across the new system, with different places experiencing different combinations of deprivation, population growth, ageing, rurality, ethnicity, multimorbidity and service access challenges. </w:t>
      </w:r>
    </w:p>
    <w:p w14:paraId="09CC760F" w14:textId="0BA8E1E6" w:rsidR="00913BF0" w:rsidRPr="00913BF0" w:rsidRDefault="0047437E" w:rsidP="00913BF0">
      <w:pPr>
        <w:jc w:val="both"/>
      </w:pPr>
      <w:r w:rsidRPr="00913BF0">
        <w:t xml:space="preserve">The public message across BNSSG and Gloucestershire is consistent: people want care that is easier to access, more joined-up, earlier, more human, more reliable, and better able to respond to crisis and specialist need. The implication is that neighbourhood care, urgent response, specialist access and prevention need to be designed around lived experience, with equity and trust built in from the outset. </w:t>
      </w:r>
    </w:p>
    <w:p w14:paraId="427AC802" w14:textId="77777777" w:rsidR="0047437E" w:rsidRPr="00913BF0" w:rsidRDefault="0047437E" w:rsidP="00556CA4">
      <w:pPr>
        <w:jc w:val="both"/>
      </w:pPr>
      <w:r>
        <w:t xml:space="preserve">The proposed strategic commissioning direction is framed around three ambitions: </w:t>
      </w:r>
      <w:r w:rsidRPr="00913BF0">
        <w:rPr>
          <w:b/>
          <w:bCs/>
        </w:rPr>
        <w:t>Healthy Lives, Health Equity</w:t>
      </w:r>
      <w:r>
        <w:t xml:space="preserve"> and </w:t>
      </w:r>
      <w:r w:rsidRPr="00913BF0">
        <w:rPr>
          <w:b/>
          <w:bCs/>
        </w:rPr>
        <w:t>Best Value</w:t>
      </w:r>
      <w:r>
        <w:t xml:space="preserve">. These are supported by a shift towards population health-focused commissioning, cohort-based approaches, a single system-wide focus on all-age frailty, a clearer risk and decision framework, data-led outcomes models, and </w:t>
      </w:r>
      <w:r w:rsidRPr="1237FF8D">
        <w:t xml:space="preserve">organisational development to build population health capability. </w:t>
      </w:r>
    </w:p>
    <w:p w14:paraId="2C9C923F" w14:textId="77777777" w:rsidR="00711BBB" w:rsidRDefault="0047437E" w:rsidP="00556CA4">
      <w:pPr>
        <w:jc w:val="both"/>
      </w:pPr>
      <w:r>
        <w:t xml:space="preserve">The </w:t>
      </w:r>
      <w:r w:rsidRPr="1237FF8D">
        <w:t>event highlighted that since becoming a cluster in April 2026, the system has aligned commissioning plans and priorities, developed two systems and provider partnerships, worked through four places and Health and Wellbeing Boards, identified 37 neighbourhoods aligned to PCNs, and established two National Neighbourhood Health Implementation Programmes pilots.</w:t>
      </w:r>
    </w:p>
    <w:p w14:paraId="5AE26937" w14:textId="3A857314" w:rsidR="0047437E" w:rsidRPr="00711BBB" w:rsidRDefault="0047437E" w:rsidP="00556CA4">
      <w:pPr>
        <w:jc w:val="both"/>
        <w:rPr>
          <w:rStyle w:val="normaltextrun"/>
          <w:rFonts w:eastAsia="Times New Roman" w:cs="Arial"/>
          <w:b/>
          <w:bCs/>
          <w:lang w:eastAsia="en-GB"/>
        </w:rPr>
      </w:pPr>
      <w:r w:rsidRPr="00711BBB">
        <w:rPr>
          <w:rStyle w:val="normaltextrun"/>
          <w:rFonts w:eastAsia="Times New Roman" w:cs="Arial"/>
          <w:b/>
          <w:bCs/>
          <w:lang w:eastAsia="en-GB"/>
        </w:rPr>
        <w:t>Strategic context and case for change</w:t>
      </w:r>
    </w:p>
    <w:p w14:paraId="3AEB59BE" w14:textId="39F53FD7" w:rsidR="0047437E" w:rsidRDefault="0047437E" w:rsidP="00556CA4">
      <w:pPr>
        <w:jc w:val="both"/>
        <w:rPr>
          <w:rStyle w:val="FootnoteReference"/>
        </w:rPr>
      </w:pPr>
      <w:r>
        <w:t xml:space="preserve">The </w:t>
      </w:r>
      <w:r w:rsidRPr="1237FF8D">
        <w:t xml:space="preserve">event also emphasised that population need is not evenly distributed. Bristol is described as having the most concentrated inequality, North Somerset as having hidden deprivation especially in coastal communities around </w:t>
      </w:r>
      <w:r w:rsidR="00913BF0" w:rsidRPr="1237FF8D">
        <w:t>Weston-Super-Mare</w:t>
      </w:r>
      <w:r w:rsidRPr="1237FF8D">
        <w:t xml:space="preserve">, South Gloucestershire as having strong average outcomes but fast-growing future demand, and Gloucestershire as </w:t>
      </w:r>
      <w:r w:rsidRPr="1237FF8D">
        <w:lastRenderedPageBreak/>
        <w:t xml:space="preserve">broadly more affluent while retaining pockets of deep deprivation in Gloucester city, the Forest of Dean and parts of Cheltenham. </w:t>
      </w:r>
    </w:p>
    <w:p w14:paraId="71DEA40A" w14:textId="77777777" w:rsidR="0047437E" w:rsidRPr="00913BF0" w:rsidRDefault="0047437E" w:rsidP="00556CA4">
      <w:pPr>
        <w:jc w:val="both"/>
      </w:pPr>
      <w:r>
        <w:t xml:space="preserve">Demographic and health </w:t>
      </w:r>
      <w:r w:rsidRPr="1237FF8D">
        <w:t xml:space="preserve">pressures are significant. The registered population is projected to rise from 1.6 million to 1.9 million by 2047, while in Gloucestershire over-65s are projected to increase by approximately 43% and over-85s by approximately 111% by 2047.  People are increasingly living 18–22 years in poor health, and multimorbidity rather than single conditions is identified as the defining challenge. </w:t>
      </w:r>
    </w:p>
    <w:p w14:paraId="0548018E" w14:textId="77777777" w:rsidR="0047437E" w:rsidRPr="00913BF0" w:rsidRDefault="0047437E" w:rsidP="00556CA4">
      <w:pPr>
        <w:jc w:val="both"/>
      </w:pPr>
      <w:r>
        <w:t xml:space="preserve">The </w:t>
      </w:r>
      <w:r w:rsidRPr="1237FF8D">
        <w:t xml:space="preserve">event also highlighted the financial and operational impact of inequality and complexity. A&amp;E use is higher in the most deprived communities, inequality-related hospital costs are estimated at over £100 million per year in BNSSG alone, and in Gloucestershire approximately 3% of people account for around 60% of inpatient bed days. </w:t>
      </w:r>
    </w:p>
    <w:p w14:paraId="6582494E" w14:textId="77777777" w:rsidR="008872C2" w:rsidRDefault="0047437E" w:rsidP="00556CA4">
      <w:pPr>
        <w:jc w:val="both"/>
      </w:pPr>
      <w:r>
        <w:t xml:space="preserve">Local conversations with the public in BNSSG and Gloucestershire point to a shared set of expectations: clearer routes into care, fewer delays, less repetition, stronger prevention, local continuity, faster crisis response, timely specialist expertise and more inclusive services that address racism, poverty, language, disability, rurality and unequal access. </w:t>
      </w:r>
    </w:p>
    <w:p w14:paraId="14CA243D" w14:textId="77777777" w:rsidR="00E12C18" w:rsidRDefault="00524331" w:rsidP="00556CA4">
      <w:pPr>
        <w:jc w:val="both"/>
        <w:rPr>
          <w:rStyle w:val="normaltextrun"/>
          <w:rFonts w:eastAsia="Times New Roman" w:cs="Arial"/>
          <w:b/>
          <w:bCs/>
          <w:lang w:eastAsia="en-GB"/>
        </w:rPr>
      </w:pPr>
      <w:r w:rsidRPr="00926B18">
        <w:rPr>
          <w:rStyle w:val="normaltextrun"/>
          <w:rFonts w:eastAsia="Times New Roman" w:cs="Arial"/>
          <w:b/>
          <w:bCs/>
          <w:lang w:eastAsia="en-GB"/>
        </w:rPr>
        <w:t>S</w:t>
      </w:r>
      <w:r w:rsidR="0047437E" w:rsidRPr="00926B18">
        <w:rPr>
          <w:rStyle w:val="normaltextrun"/>
          <w:rFonts w:eastAsia="Times New Roman" w:cs="Arial"/>
          <w:b/>
          <w:bCs/>
          <w:lang w:eastAsia="en-GB"/>
        </w:rPr>
        <w:t>trategic commissioning ambitions</w:t>
      </w:r>
    </w:p>
    <w:p w14:paraId="6B00C731" w14:textId="265E9014" w:rsidR="0047437E" w:rsidRPr="00913BF0" w:rsidRDefault="0047437E" w:rsidP="00556CA4">
      <w:pPr>
        <w:jc w:val="both"/>
      </w:pPr>
      <w:r>
        <w:t xml:space="preserve">The </w:t>
      </w:r>
      <w:r w:rsidRPr="1237FF8D">
        <w:t xml:space="preserve">presentations at the event proposed that population health-focused commissioning should become core business across Gloucestershire and BNSSG over the next three years, shifting from reactive, hospital-based provision towards proactive, population-focused support closer to home. </w:t>
      </w:r>
    </w:p>
    <w:p w14:paraId="660A0803" w14:textId="77777777" w:rsidR="00EB3111" w:rsidRDefault="0047437E" w:rsidP="00556CA4">
      <w:pPr>
        <w:jc w:val="both"/>
      </w:pPr>
      <w:r>
        <w:t xml:space="preserve">The commissioning model is structured around cohort-based commissioning, including children and young </w:t>
      </w:r>
      <w:r w:rsidRPr="1237FF8D">
        <w:t>people, adults facing multiple disadvantages, working-age adults with rising risk, maternity, and older people with frailty. The primary lens for testing strategic commissioning over the next three years is all-age frailty, with a defined risk and decision framework expected by April 2027 and an Integrated Needs Assessment, segmentation approach and outcomes framework for the frailty cohort being established in 2026/27.</w:t>
      </w:r>
    </w:p>
    <w:p w14:paraId="21B50459" w14:textId="19C2ECFB" w:rsidR="00844DC2" w:rsidRPr="00EB3111" w:rsidRDefault="0047437E" w:rsidP="00556CA4">
      <w:pPr>
        <w:jc w:val="both"/>
        <w:rPr>
          <w:rStyle w:val="normaltextrun"/>
          <w:rFonts w:eastAsia="Times New Roman" w:cs="Arial"/>
          <w:b/>
          <w:bCs/>
          <w:lang w:eastAsia="en-GB"/>
        </w:rPr>
      </w:pPr>
      <w:r w:rsidRPr="00EB3111">
        <w:rPr>
          <w:rStyle w:val="normaltextrun"/>
          <w:rFonts w:eastAsia="Times New Roman" w:cs="Arial"/>
          <w:b/>
          <w:bCs/>
          <w:lang w:eastAsia="en-GB"/>
        </w:rPr>
        <w:t>Delivery model: from commissioning to impact</w:t>
      </w:r>
    </w:p>
    <w:p w14:paraId="281CC6E1" w14:textId="6D9FACCC" w:rsidR="0047437E" w:rsidRDefault="0047437E" w:rsidP="00556CA4">
      <w:pPr>
        <w:jc w:val="both"/>
      </w:pPr>
      <w:r>
        <w:t>The presentation</w:t>
      </w:r>
      <w:r w:rsidRPr="1237FF8D">
        <w:t xml:space="preserve">s described neighbourhood health delivery as requiring alignment between cluster, system, place and neighbourhood layers. </w:t>
      </w:r>
    </w:p>
    <w:p w14:paraId="5A9A8EAA" w14:textId="2AF5F868" w:rsidR="00EB3111" w:rsidRPr="00913BF0" w:rsidRDefault="0047437E" w:rsidP="00556CA4">
      <w:pPr>
        <w:jc w:val="both"/>
        <w:rPr>
          <w:rStyle w:val="normaltextrun"/>
        </w:rPr>
      </w:pPr>
      <w:r>
        <w:t xml:space="preserve">Provider partnerships and collaborations </w:t>
      </w:r>
      <w:r w:rsidRPr="1237FF8D">
        <w:t xml:space="preserve">were presented as the vehicles for neighbourhood health development. In Gloucestershire, the MoU is between the ICB and the Gloucestershire Provider Partnership, comprising the GP Collaborative, Gloucestershire Health and Care and Gloucestershire Hospitals, supported by the County Council and VCS.  In BNSSG, the emerging commitment is to bring together the GP Collaborative, Bristol Hospitals NHS Trust, Sirona Care and Health, Avon and Wiltshire Mental Health Trust and the VCSE Alliance, focused on developing Integrated Neighbourhood Teams for people living with frailty and complexity. </w:t>
      </w:r>
    </w:p>
    <w:p w14:paraId="7F95A90F" w14:textId="77777777" w:rsidR="00913BF0" w:rsidRDefault="00913BF0" w:rsidP="00556CA4">
      <w:pPr>
        <w:jc w:val="both"/>
        <w:rPr>
          <w:rStyle w:val="normaltextrun"/>
          <w:rFonts w:eastAsia="Times New Roman" w:cs="Arial"/>
          <w:b/>
          <w:bCs/>
          <w:lang w:eastAsia="en-GB"/>
        </w:rPr>
      </w:pPr>
    </w:p>
    <w:p w14:paraId="70EF336A" w14:textId="77777777" w:rsidR="00913BF0" w:rsidRDefault="00913BF0" w:rsidP="00556CA4">
      <w:pPr>
        <w:jc w:val="both"/>
        <w:rPr>
          <w:rStyle w:val="normaltextrun"/>
          <w:rFonts w:eastAsia="Times New Roman" w:cs="Arial"/>
          <w:b/>
          <w:bCs/>
          <w:lang w:eastAsia="en-GB"/>
        </w:rPr>
      </w:pPr>
    </w:p>
    <w:p w14:paraId="7A0286A9" w14:textId="2B838E1A" w:rsidR="0047437E" w:rsidRPr="00EB3111" w:rsidRDefault="0047437E" w:rsidP="00556CA4">
      <w:pPr>
        <w:jc w:val="both"/>
        <w:rPr>
          <w:rStyle w:val="normaltextrun"/>
          <w:rFonts w:eastAsia="Times New Roman" w:cs="Arial"/>
          <w:b/>
          <w:bCs/>
          <w:lang w:eastAsia="en-GB"/>
        </w:rPr>
      </w:pPr>
      <w:r w:rsidRPr="00EB3111">
        <w:rPr>
          <w:rStyle w:val="normaltextrun"/>
          <w:rFonts w:eastAsia="Times New Roman" w:cs="Arial"/>
          <w:b/>
          <w:bCs/>
          <w:lang w:eastAsia="en-GB"/>
        </w:rPr>
        <w:lastRenderedPageBreak/>
        <w:t>BNSSG summary</w:t>
      </w:r>
    </w:p>
    <w:p w14:paraId="4DF4EABE" w14:textId="77777777" w:rsidR="0047437E" w:rsidRPr="00913BF0" w:rsidRDefault="0047437E" w:rsidP="00556CA4">
      <w:pPr>
        <w:jc w:val="both"/>
      </w:pPr>
      <w:r>
        <w:t xml:space="preserve">BNSSG’s </w:t>
      </w:r>
      <w:r w:rsidRPr="1237FF8D">
        <w:t xml:space="preserve">neighbourhood health development is supported by £7.9 million accelerator funding for a new Provider Collaboration Arrangement across health, local authority and VCSE partners. The focus is on developing Integrated Neighbourhood Teams for people living with complex needs and all-age frailty, building on the Healthier Together 2040 strategic approach. </w:t>
      </w:r>
    </w:p>
    <w:p w14:paraId="47DE63D9" w14:textId="77777777" w:rsidR="0047437E" w:rsidRPr="00913BF0" w:rsidRDefault="0047437E" w:rsidP="00556CA4">
      <w:pPr>
        <w:jc w:val="both"/>
      </w:pPr>
      <w:r>
        <w:t xml:space="preserve">The target cohort is described as people who are frail or at </w:t>
      </w:r>
      <w:r w:rsidRPr="1237FF8D">
        <w:t xml:space="preserve">high risk of frailty, using a combination of eFI2, Rockwood Clinical Frailty Scale and professional or MDT judgement for people aged 45–65. The total scale is estimated at more than 34,000 people, around 3% of the population, and likely to increase. </w:t>
      </w:r>
    </w:p>
    <w:p w14:paraId="39A95A18" w14:textId="77777777" w:rsidR="0047437E" w:rsidRPr="00913BF0" w:rsidRDefault="0047437E" w:rsidP="00556CA4">
      <w:pPr>
        <w:jc w:val="both"/>
      </w:pPr>
      <w:r>
        <w:t>The intended outcomes are person-</w:t>
      </w:r>
      <w:r w:rsidRPr="1237FF8D">
        <w:t xml:space="preserve">centred: better quality of life, joined-up support based around what matters to the individual, and earlier recognition and response to changes in health or wellbeing. Watch measures include staff experience, more valuable interactions with experts, reductions in single-disease outpatient activity, increased MDT working, more time spent at home and reductions in A&amp;E, admissions and corridor care. </w:t>
      </w:r>
    </w:p>
    <w:p w14:paraId="30F21187" w14:textId="77777777" w:rsidR="0047437E" w:rsidRDefault="0047437E" w:rsidP="00556CA4">
      <w:pPr>
        <w:jc w:val="both"/>
      </w:pPr>
      <w:r>
        <w:t>The BNSSG approach also includes</w:t>
      </w:r>
      <w:r w:rsidRPr="1237FF8D">
        <w:t xml:space="preserve"> the continued development of the VCSE infrastructure.</w:t>
      </w:r>
    </w:p>
    <w:p w14:paraId="7A755D9E" w14:textId="77777777" w:rsidR="00EB3111" w:rsidRDefault="0047437E" w:rsidP="00556CA4">
      <w:pPr>
        <w:jc w:val="both"/>
      </w:pPr>
      <w:r>
        <w:t xml:space="preserve">Key BNSSG next steps are sign-off of the Provider Partnership to develop INTs for frailty, </w:t>
      </w:r>
      <w:r w:rsidRPr="1237FF8D">
        <w:t xml:space="preserve">establishing commissioning infrastructure for cohort, contracts and outcomes baselining, and establishing neighbourhood health governance and delivery capacity. </w:t>
      </w:r>
    </w:p>
    <w:p w14:paraId="30C4C3ED" w14:textId="75A5F358" w:rsidR="0047437E" w:rsidRPr="00EB3111" w:rsidRDefault="0047437E" w:rsidP="00556CA4">
      <w:pPr>
        <w:jc w:val="both"/>
        <w:rPr>
          <w:rStyle w:val="normaltextrun"/>
          <w:rFonts w:eastAsia="Times New Roman" w:cs="Arial"/>
          <w:b/>
          <w:bCs/>
          <w:lang w:eastAsia="en-GB"/>
        </w:rPr>
      </w:pPr>
      <w:r w:rsidRPr="00EB3111">
        <w:rPr>
          <w:rStyle w:val="normaltextrun"/>
          <w:rFonts w:eastAsia="Times New Roman" w:cs="Arial"/>
          <w:b/>
          <w:bCs/>
          <w:lang w:eastAsia="en-GB"/>
        </w:rPr>
        <w:t>Gloucestershire summary</w:t>
      </w:r>
    </w:p>
    <w:p w14:paraId="079D16E5" w14:textId="77777777" w:rsidR="0047437E" w:rsidRPr="00913BF0" w:rsidRDefault="0047437E" w:rsidP="00556CA4">
      <w:pPr>
        <w:jc w:val="both"/>
      </w:pPr>
      <w:r>
        <w:t xml:space="preserve">Gloucestershire’s </w:t>
      </w:r>
      <w:r w:rsidRPr="1237FF8D">
        <w:t xml:space="preserve">neighbourhood health approach is based on a whole-system response, with neighbourhood health taken forward collaboratively across partners. The founding principles include a partnership approach using PCNs as the initial footprint, and work with the VCSE as a strategic partner. </w:t>
      </w:r>
    </w:p>
    <w:p w14:paraId="308400B8" w14:textId="77777777" w:rsidR="0047437E" w:rsidRPr="00913BF0" w:rsidRDefault="0047437E" w:rsidP="00556CA4">
      <w:pPr>
        <w:jc w:val="both"/>
      </w:pPr>
      <w:r>
        <w:t xml:space="preserve">Gloucestershire’s transformation work </w:t>
      </w:r>
      <w:r w:rsidRPr="1237FF8D">
        <w:t xml:space="preserve">was presented as having created a strong platform. In 2024/25, the top two population segments, representing 3% of the population, occupied 60% of non-elective bed days, this reduced to 53% in 2025/26.  Work in Tewkesbury was highlighted as demonstrating the impact of proactive care in primary care, with significantly less secondary care use per person per year but higher GP practice appointments. </w:t>
      </w:r>
    </w:p>
    <w:p w14:paraId="531C6F28" w14:textId="77777777" w:rsidR="0047437E" w:rsidRDefault="0047437E" w:rsidP="00556CA4">
      <w:pPr>
        <w:jc w:val="both"/>
      </w:pPr>
      <w:r>
        <w:t xml:space="preserve">The Gloucestershire Provider Partnership MoU set out plans for </w:t>
      </w:r>
      <w:r w:rsidRPr="1237FF8D">
        <w:t xml:space="preserve">neighbourhood health and is supported by Gloucestershire County Council and the Voluntary and Community Sector. Its purpose is to provide structured leadership and oversight of system-wide transformation, host collective resources, oversee and coordinate NHS transformation priorities, and provide a vehicle for local collective coordination and delivery. </w:t>
      </w:r>
      <w:r w:rsidRPr="00913BF0">
        <w:footnoteReference w:id="2"/>
      </w:r>
    </w:p>
    <w:p w14:paraId="5D4A8A2D" w14:textId="77777777" w:rsidR="00EB3111" w:rsidRDefault="0047437E" w:rsidP="00556CA4">
      <w:pPr>
        <w:jc w:val="both"/>
      </w:pPr>
      <w:r>
        <w:t xml:space="preserve">The Gloucestershire MoU </w:t>
      </w:r>
      <w:r w:rsidRPr="1237FF8D">
        <w:t xml:space="preserve">prioritises three cohorts: older people living with frailty and dementia; people living with multiple long-term conditions and rising risk; and people living with serious mental illness.  The funding described includes approximately £2 million per </w:t>
      </w:r>
      <w:r w:rsidRPr="1237FF8D">
        <w:lastRenderedPageBreak/>
        <w:t xml:space="preserve">annum for three years for transformation and additional service cost-of-change funding, including recurrent frailty funding. </w:t>
      </w:r>
    </w:p>
    <w:p w14:paraId="4C07BBAB" w14:textId="30523867" w:rsidR="0047437E" w:rsidRPr="00EB3111" w:rsidRDefault="0047437E" w:rsidP="00556CA4">
      <w:pPr>
        <w:jc w:val="both"/>
        <w:rPr>
          <w:rStyle w:val="normaltextrun"/>
          <w:rFonts w:eastAsia="Times New Roman" w:cs="Arial"/>
          <w:b/>
          <w:bCs/>
          <w:lang w:eastAsia="en-GB"/>
        </w:rPr>
      </w:pPr>
      <w:r w:rsidRPr="00EB3111">
        <w:rPr>
          <w:rStyle w:val="normaltextrun"/>
          <w:rFonts w:eastAsia="Times New Roman" w:cs="Arial"/>
          <w:b/>
          <w:bCs/>
          <w:lang w:eastAsia="en-GB"/>
        </w:rPr>
        <w:t>Key Challenge and Questions Raised</w:t>
      </w:r>
    </w:p>
    <w:p w14:paraId="5FB769B5" w14:textId="77777777" w:rsidR="0047437E" w:rsidRDefault="0047437E" w:rsidP="00556CA4">
      <w:pPr>
        <w:jc w:val="both"/>
      </w:pPr>
      <w:r>
        <w:t xml:space="preserve">The event provided an opportunity for the national team to regularly challenge and ask questions.  Their challenges can be summarised as follows. </w:t>
      </w:r>
    </w:p>
    <w:p w14:paraId="1A5F35C0" w14:textId="77777777" w:rsidR="0047437E" w:rsidRDefault="0047437E" w:rsidP="00556CA4">
      <w:pPr>
        <w:pStyle w:val="ListParagraph"/>
        <w:numPr>
          <w:ilvl w:val="0"/>
          <w:numId w:val="27"/>
        </w:numPr>
        <w:spacing w:after="160" w:line="279" w:lineRule="auto"/>
        <w:jc w:val="both"/>
      </w:pPr>
      <w:r w:rsidRPr="1237FF8D">
        <w:rPr>
          <w:b/>
          <w:bCs/>
        </w:rPr>
        <w:t>Focus and prioritisation:</w:t>
      </w:r>
      <w:r w:rsidRPr="1237FF8D">
        <w:t xml:space="preserve"> Are the cluster, system and place programmes sufficiently aligned around the highest-impact cohorts, especially all-age frailty, rising-risk multimorbidity and inequalities?  Can we deliver a business model that releases beds and ensures further improvement</w:t>
      </w:r>
      <w:r>
        <w:t>?</w:t>
      </w:r>
    </w:p>
    <w:p w14:paraId="519DB6EE" w14:textId="77777777" w:rsidR="0047437E" w:rsidRDefault="0047437E" w:rsidP="00556CA4">
      <w:pPr>
        <w:pStyle w:val="ListParagraph"/>
        <w:numPr>
          <w:ilvl w:val="0"/>
          <w:numId w:val="27"/>
        </w:numPr>
        <w:spacing w:after="160" w:line="279" w:lineRule="auto"/>
        <w:jc w:val="both"/>
      </w:pPr>
      <w:r>
        <w:rPr>
          <w:b/>
          <w:bCs/>
        </w:rPr>
        <w:t>Outcomes and benefits:</w:t>
      </w:r>
      <w:r>
        <w:t xml:space="preserve"> Is there a consistent benefits framework that links outcomes, experience, activity and cost across BNSSG and Gloucestershire?</w:t>
      </w:r>
    </w:p>
    <w:p w14:paraId="2A7F9A6F" w14:textId="77777777" w:rsidR="0047437E" w:rsidRDefault="0047437E" w:rsidP="00556CA4">
      <w:pPr>
        <w:pStyle w:val="ListParagraph"/>
        <w:numPr>
          <w:ilvl w:val="0"/>
          <w:numId w:val="27"/>
        </w:numPr>
        <w:spacing w:after="160" w:line="279" w:lineRule="auto"/>
        <w:jc w:val="both"/>
      </w:pPr>
      <w:r>
        <w:rPr>
          <w:b/>
          <w:bCs/>
        </w:rPr>
        <w:t>Data and segmentation:</w:t>
      </w:r>
      <w:r>
        <w:t xml:space="preserve"> Is there a clear route to connect commissioning segmentation, case finding, shared care planning and operational delivery data?</w:t>
      </w:r>
    </w:p>
    <w:p w14:paraId="7C546338" w14:textId="77777777" w:rsidR="0047437E" w:rsidRDefault="0047437E" w:rsidP="00556CA4">
      <w:pPr>
        <w:pStyle w:val="ListParagraph"/>
        <w:numPr>
          <w:ilvl w:val="0"/>
          <w:numId w:val="27"/>
        </w:numPr>
        <w:spacing w:after="160" w:line="279" w:lineRule="auto"/>
        <w:jc w:val="both"/>
      </w:pPr>
      <w:r>
        <w:rPr>
          <w:b/>
          <w:bCs/>
        </w:rPr>
        <w:t>Governance:</w:t>
      </w:r>
      <w:r>
        <w:t xml:space="preserve"> Are decision rights, accountability, risk appetite and escalation routes sufficiently clear across neighbourhood, place, system and cluster levels?</w:t>
      </w:r>
    </w:p>
    <w:p w14:paraId="4C6F65D0" w14:textId="77777777" w:rsidR="0047437E" w:rsidRDefault="0047437E" w:rsidP="00556CA4">
      <w:pPr>
        <w:pStyle w:val="ListParagraph"/>
        <w:numPr>
          <w:ilvl w:val="0"/>
          <w:numId w:val="27"/>
        </w:numPr>
        <w:spacing w:after="160" w:line="279" w:lineRule="auto"/>
        <w:jc w:val="both"/>
      </w:pPr>
      <w:r w:rsidRPr="00BB0CBF">
        <w:rPr>
          <w:b/>
          <w:bCs/>
        </w:rPr>
        <w:t>Scale and spread:</w:t>
      </w:r>
      <w:r>
        <w:t xml:space="preserve"> Which local models are ready to scale, which require further testing, and what criteria will determine spread across the cluster?</w:t>
      </w:r>
    </w:p>
    <w:p w14:paraId="1F2AB6DF" w14:textId="77777777" w:rsidR="00EB3111" w:rsidRDefault="0047437E" w:rsidP="00556CA4">
      <w:pPr>
        <w:pStyle w:val="ListParagraph"/>
        <w:numPr>
          <w:ilvl w:val="0"/>
          <w:numId w:val="27"/>
        </w:numPr>
        <w:spacing w:after="160" w:line="279" w:lineRule="auto"/>
        <w:jc w:val="both"/>
      </w:pPr>
      <w:r w:rsidRPr="00BB0CBF">
        <w:rPr>
          <w:b/>
          <w:bCs/>
        </w:rPr>
        <w:t>Financial sustainability:</w:t>
      </w:r>
      <w:r>
        <w:t xml:space="preserve"> How will accelerator funding, transformation funding and recurrent investment be aligned to longer-term commissioning and contracting decisions?</w:t>
      </w:r>
    </w:p>
    <w:p w14:paraId="1CFC74D2" w14:textId="44B644E1" w:rsidR="0047437E" w:rsidRPr="00EB3111" w:rsidRDefault="0047437E" w:rsidP="00556CA4">
      <w:pPr>
        <w:spacing w:after="160" w:line="279" w:lineRule="auto"/>
        <w:jc w:val="both"/>
        <w:rPr>
          <w:rStyle w:val="normaltextrun"/>
          <w:rFonts w:eastAsia="Times New Roman" w:cs="Arial"/>
          <w:b/>
          <w:bCs/>
          <w:lang w:eastAsia="en-GB"/>
        </w:rPr>
      </w:pPr>
      <w:r w:rsidRPr="00EB3111">
        <w:rPr>
          <w:rStyle w:val="normaltextrun"/>
          <w:rFonts w:eastAsia="Times New Roman" w:cs="Arial"/>
          <w:b/>
          <w:bCs/>
          <w:lang w:eastAsia="en-GB"/>
        </w:rPr>
        <w:t>Conclusion</w:t>
      </w:r>
    </w:p>
    <w:p w14:paraId="1C1A511E" w14:textId="77777777" w:rsidR="0047437E" w:rsidRPr="00913BF0" w:rsidRDefault="0047437E" w:rsidP="00556CA4">
      <w:pPr>
        <w:jc w:val="both"/>
      </w:pPr>
      <w:r>
        <w:t xml:space="preserve">The </w:t>
      </w:r>
      <w:r w:rsidRPr="1237FF8D">
        <w:t xml:space="preserve">event provided a compelling case for neighbourhood health as a central delivery mechanism for the new cluster. It demonstrated strong alignment between public expectations, population health need, strategic commissioning ambitions and early place-based innovation. The most developed areas show promising evidence of proactive care, integrated working, VCSE engagement and reductions in avoidable hospital activity, particularly in relation to frailty. </w:t>
      </w:r>
    </w:p>
    <w:p w14:paraId="7F5A5979" w14:textId="1EF89DC4" w:rsidR="00E322B7" w:rsidRPr="00913BF0" w:rsidRDefault="0047437E" w:rsidP="00913BF0">
      <w:pPr>
        <w:jc w:val="both"/>
      </w:pPr>
      <w:r w:rsidRPr="1237FF8D">
        <w:t>The key focus is now to ensure that the approach moves from promising local development to a coherent, governed, outcomes-based cluster model. This will require clear prioritisation, stronger data and digital foundations, consistent outcome measures, an agreed governance framework, and a disciplined approach to scaling what works while maintaining the local adaptability that neighbourhood health depends on.</w:t>
      </w:r>
    </w:p>
    <w:p w14:paraId="0224132D" w14:textId="01F19B95" w:rsidR="00E322B7" w:rsidRDefault="00E322B7" w:rsidP="00556CA4">
      <w:pPr>
        <w:spacing w:after="160" w:line="240" w:lineRule="auto"/>
        <w:contextualSpacing/>
        <w:jc w:val="both"/>
        <w:rPr>
          <w:rFonts w:asciiTheme="minorHAnsi" w:hAnsiTheme="minorHAnsi" w:cstheme="minorHAnsi"/>
          <w:b/>
          <w:bCs/>
          <w:sz w:val="28"/>
          <w:szCs w:val="28"/>
          <w:u w:val="single"/>
        </w:rPr>
      </w:pPr>
      <w:r>
        <w:rPr>
          <w:rFonts w:asciiTheme="minorHAnsi" w:hAnsiTheme="minorHAnsi" w:cstheme="minorHAnsi"/>
          <w:b/>
          <w:bCs/>
          <w:sz w:val="28"/>
          <w:szCs w:val="28"/>
          <w:u w:val="single"/>
        </w:rPr>
        <w:t xml:space="preserve">Preparing for Merger </w:t>
      </w:r>
    </w:p>
    <w:p w14:paraId="3414F4FA" w14:textId="77777777" w:rsidR="00E322B7" w:rsidRDefault="00E322B7" w:rsidP="00556CA4">
      <w:pPr>
        <w:spacing w:after="160" w:line="240" w:lineRule="auto"/>
        <w:contextualSpacing/>
        <w:jc w:val="both"/>
        <w:rPr>
          <w:rFonts w:asciiTheme="minorHAnsi" w:hAnsiTheme="minorHAnsi" w:cstheme="minorHAnsi"/>
          <w:b/>
          <w:bCs/>
          <w:sz w:val="28"/>
          <w:szCs w:val="28"/>
          <w:u w:val="single"/>
        </w:rPr>
      </w:pPr>
    </w:p>
    <w:p w14:paraId="1EA03ED1" w14:textId="3C0EC40B" w:rsidR="00BC2CE4" w:rsidRPr="00913BF0" w:rsidRDefault="00210E82" w:rsidP="00913BF0">
      <w:pPr>
        <w:jc w:val="both"/>
      </w:pPr>
      <w:r w:rsidRPr="00913BF0">
        <w:t xml:space="preserve">Following NHS England’s merger process, Gloucestershire and BNSSG ICBs have submitted a request to create a new merged successor organisation from April 2027. A response has been submitted to NHS England setting out the rationale for merging on the existing Gloucestershire and BNSSG cluster footprint. The response confirms that the current cluster footprint provides the safest and most deliverable basis for merger by April 2027, reflecting established patient flows, service relationships and partnership working. It also </w:t>
      </w:r>
      <w:r w:rsidRPr="00913BF0">
        <w:lastRenderedPageBreak/>
        <w:t>recognises aspirations to align with future strategic authority arrangements, including the potential future inclusion of Bath and </w:t>
      </w:r>
      <w:proofErr w:type="gramStart"/>
      <w:r w:rsidRPr="00913BF0">
        <w:t>North East</w:t>
      </w:r>
      <w:proofErr w:type="gramEnd"/>
      <w:r w:rsidRPr="00913BF0">
        <w:t> Somerset, but concludes that this is not feasible by April 2027 due to current uncertainty and delivery risk.</w:t>
      </w:r>
    </w:p>
    <w:p w14:paraId="1C540EE9" w14:textId="1D83B2F0" w:rsidR="004E4E13" w:rsidRPr="00913BF0" w:rsidRDefault="00210E82" w:rsidP="00913BF0">
      <w:pPr>
        <w:jc w:val="both"/>
      </w:pPr>
      <w:r w:rsidRPr="00913BF0">
        <w:t>In anticipation of NHS England approval in early autumn, a merger due diligence programme approach has been developed</w:t>
      </w:r>
      <w:r w:rsidR="00BC2CE4" w:rsidRPr="00913BF0">
        <w:t>, and approved by the transition committe</w:t>
      </w:r>
      <w:r w:rsidR="004E4E13" w:rsidRPr="00913BF0">
        <w:t xml:space="preserve">e, </w:t>
      </w:r>
      <w:r w:rsidRPr="00913BF0">
        <w:t xml:space="preserve">to provide a single framework for coordinating merger activity, managing risks, monitoring readiness and assuring both the Executive Team and Joint Transition Committee. </w:t>
      </w:r>
    </w:p>
    <w:p w14:paraId="5B46DBB0" w14:textId="0091F3A9" w:rsidR="00E322B7" w:rsidRPr="00913BF0" w:rsidRDefault="00210E82" w:rsidP="00913BF0">
      <w:pPr>
        <w:jc w:val="both"/>
      </w:pPr>
      <w:r w:rsidRPr="00913BF0">
        <w:t>The proposed arrangements include a Merger Due Diligence Oversight Group chaired by the CEO, with workstreams covering governance, constitution and statutory duties; workforce and HR implications; finance, contracts and assets; digital, data and information governance; and stakeholder management. The Joint Transition Committee is proposed to continue oversight of the merger due diligence programme</w:t>
      </w:r>
      <w:r w:rsidR="004E4E13" w:rsidRPr="00913BF0">
        <w:t>.</w:t>
      </w:r>
    </w:p>
    <w:p w14:paraId="043D35FA" w14:textId="77777777" w:rsidR="00BC2CE4" w:rsidRPr="00913BF0" w:rsidRDefault="00BC2CE4" w:rsidP="00913BF0">
      <w:pPr>
        <w:jc w:val="both"/>
      </w:pPr>
    </w:p>
    <w:p w14:paraId="02C76AAC" w14:textId="77777777" w:rsidR="00E322B7" w:rsidRPr="00913BF0" w:rsidRDefault="00E322B7" w:rsidP="00913BF0">
      <w:pPr>
        <w:jc w:val="both"/>
      </w:pPr>
    </w:p>
    <w:sectPr w:rsidR="00E322B7" w:rsidRPr="00913BF0" w:rsidSect="006D79FC">
      <w:headerReference w:type="default" r:id="rId12"/>
      <w:footerReference w:type="even" r:id="rId13"/>
      <w:footerReference w:type="default" r:id="rId14"/>
      <w:headerReference w:type="first" r:id="rId15"/>
      <w:footerReference w:type="first" r:id="rId16"/>
      <w:pgSz w:w="11909" w:h="16834" w:code="9"/>
      <w:pgMar w:top="1985" w:right="1080" w:bottom="993"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7BF3C" w14:textId="77777777" w:rsidR="00EB2586" w:rsidRPr="00EF3A62" w:rsidRDefault="00EB2586" w:rsidP="008F7D93">
      <w:r w:rsidRPr="00EF3A62">
        <w:separator/>
      </w:r>
    </w:p>
  </w:endnote>
  <w:endnote w:type="continuationSeparator" w:id="0">
    <w:p w14:paraId="346833C0" w14:textId="77777777" w:rsidR="00EB2586" w:rsidRPr="00EF3A62" w:rsidRDefault="00EB2586" w:rsidP="008F7D93">
      <w:r w:rsidRPr="00EF3A62">
        <w:continuationSeparator/>
      </w:r>
    </w:p>
  </w:endnote>
  <w:endnote w:type="continuationNotice" w:id="1">
    <w:p w14:paraId="480B3840" w14:textId="77777777" w:rsidR="00EB2586" w:rsidRPr="00EF3A62" w:rsidRDefault="00EB2586" w:rsidP="008F7D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D820" w14:textId="77777777" w:rsidR="00C46028" w:rsidRPr="00EF3A62" w:rsidRDefault="00C46028">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698450"/>
      <w:docPartObj>
        <w:docPartGallery w:val="Page Numbers (Bottom of Page)"/>
        <w:docPartUnique/>
      </w:docPartObj>
    </w:sdtPr>
    <w:sdtEndPr/>
    <w:sdtContent>
      <w:p w14:paraId="1187C805" w14:textId="77777777" w:rsidR="00392DE3" w:rsidRPr="00EF3A62" w:rsidRDefault="00392DE3" w:rsidP="00392DE3">
        <w:pPr>
          <w:pStyle w:val="Footer"/>
          <w:jc w:val="center"/>
        </w:pPr>
      </w:p>
      <w:p w14:paraId="6636893C" w14:textId="06459A2A" w:rsidR="00392DE3" w:rsidRPr="00EF3A62" w:rsidRDefault="00392DE3" w:rsidP="00392DE3">
        <w:pPr>
          <w:pStyle w:val="Footer"/>
          <w:jc w:val="center"/>
        </w:pPr>
        <w:r w:rsidRPr="00EF3A62">
          <w:fldChar w:fldCharType="begin"/>
        </w:r>
        <w:r w:rsidRPr="00EF3A62">
          <w:instrText xml:space="preserve"> PAGE   \* MERGEFORMAT </w:instrText>
        </w:r>
        <w:r w:rsidRPr="00EF3A62">
          <w:fldChar w:fldCharType="separate"/>
        </w:r>
        <w:r w:rsidRPr="00EF3A62">
          <w:t>2</w:t>
        </w:r>
        <w:r w:rsidRPr="00EF3A62">
          <w:fldChar w:fldCharType="end"/>
        </w:r>
      </w:p>
      <w:p w14:paraId="32998FD8" w14:textId="7DB00659" w:rsidR="00392DE3" w:rsidRPr="00EF3A62" w:rsidRDefault="004206FD" w:rsidP="004C07D8">
        <w:pPr>
          <w:pStyle w:val="Footer"/>
        </w:pPr>
        <w:r w:rsidRPr="00EF3A62">
          <w:rPr>
            <w:noProof/>
          </w:rPr>
          <w:drawing>
            <wp:anchor distT="0" distB="0" distL="114300" distR="114300" simplePos="0" relativeHeight="251658240" behindDoc="0" locked="0" layoutInCell="1" allowOverlap="1" wp14:anchorId="3713CEEE" wp14:editId="380F9CFF">
              <wp:simplePos x="0" y="0"/>
              <wp:positionH relativeFrom="page">
                <wp:posOffset>-6485</wp:posOffset>
              </wp:positionH>
              <wp:positionV relativeFrom="page">
                <wp:posOffset>10642059</wp:posOffset>
              </wp:positionV>
              <wp:extent cx="7586345" cy="64297"/>
              <wp:effectExtent l="0" t="0" r="0" b="0"/>
              <wp:wrapSquare wrapText="bothSides"/>
              <wp:docPr id="225546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7586345" cy="64297"/>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63CB48CA" w14:textId="3A9649CA" w:rsidR="00C46028" w:rsidRPr="00EF3A62" w:rsidRDefault="00C46028">
    <w:pP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1A17" w14:textId="637AA2AE" w:rsidR="001D7CF7" w:rsidRPr="00EF3A62" w:rsidRDefault="0030747B" w:rsidP="001D7CF7">
    <w:pPr>
      <w:jc w:val="center"/>
    </w:pPr>
    <w:r w:rsidRPr="00EF3A62">
      <w:fldChar w:fldCharType="begin"/>
    </w:r>
    <w:r w:rsidRPr="00EF3A62">
      <w:instrText xml:space="preserve"> PAGE   \* MERGEFORMAT </w:instrText>
    </w:r>
    <w:r w:rsidRPr="00EF3A62">
      <w:fldChar w:fldCharType="separate"/>
    </w:r>
    <w:r w:rsidRPr="00EF3A62">
      <w:t>1</w:t>
    </w:r>
    <w:r w:rsidRPr="00EF3A62">
      <w:fldChar w:fldCharType="end"/>
    </w:r>
    <w:r w:rsidR="001D7CF7" w:rsidRPr="00EF3A62">
      <w:fldChar w:fldCharType="begin"/>
    </w:r>
    <w:r w:rsidR="001D7CF7" w:rsidRPr="00EF3A62">
      <w:instrText xml:space="preserve"> PAGE   \* MERGEFORMAT </w:instrText>
    </w:r>
    <w:r w:rsidR="001D7CF7" w:rsidRPr="00EF3A62">
      <w:fldChar w:fldCharType="separate"/>
    </w:r>
    <w:r w:rsidR="001D7CF7" w:rsidRPr="00EF3A62">
      <w:t>1</w:t>
    </w:r>
    <w:r w:rsidR="001D7CF7" w:rsidRPr="00EF3A62">
      <w:fldChar w:fldCharType="end"/>
    </w:r>
  </w:p>
  <w:p w14:paraId="0795E1F3" w14:textId="77A9B488" w:rsidR="00C46028" w:rsidRPr="00EF3A62" w:rsidRDefault="00917835" w:rsidP="00041991">
    <w:pPr>
      <w:jc w:val="center"/>
    </w:pPr>
    <w:r w:rsidRPr="00EF3A62">
      <w:rPr>
        <w:noProof/>
      </w:rPr>
      <w:drawing>
        <wp:anchor distT="0" distB="0" distL="114300" distR="114300" simplePos="0" relativeHeight="251658245" behindDoc="0" locked="0" layoutInCell="1" allowOverlap="1" wp14:anchorId="27E64455" wp14:editId="47D84493">
          <wp:simplePos x="0" y="0"/>
          <wp:positionH relativeFrom="page">
            <wp:posOffset>685800</wp:posOffset>
          </wp:positionH>
          <wp:positionV relativeFrom="page">
            <wp:posOffset>11014075</wp:posOffset>
          </wp:positionV>
          <wp:extent cx="7586345" cy="239395"/>
          <wp:effectExtent l="0" t="0" r="0" b="8255"/>
          <wp:wrapSquare wrapText="bothSides"/>
          <wp:docPr id="18946613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7586345" cy="23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7D1F8F" w:rsidRPr="00EF3A62">
      <w:rPr>
        <w:noProof/>
      </w:rPr>
      <w:drawing>
        <wp:anchor distT="0" distB="0" distL="114300" distR="114300" simplePos="0" relativeHeight="251658244" behindDoc="0" locked="0" layoutInCell="1" allowOverlap="1" wp14:anchorId="53278FCA" wp14:editId="7876C7EF">
          <wp:simplePos x="0" y="0"/>
          <wp:positionH relativeFrom="page">
            <wp:posOffset>-8890</wp:posOffset>
          </wp:positionH>
          <wp:positionV relativeFrom="page">
            <wp:posOffset>10483560</wp:posOffset>
          </wp:positionV>
          <wp:extent cx="7586345" cy="239395"/>
          <wp:effectExtent l="0" t="0" r="0" b="8255"/>
          <wp:wrapSquare wrapText="bothSides"/>
          <wp:docPr id="8791163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7586345" cy="2393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F146D" w14:textId="77777777" w:rsidR="00EB2586" w:rsidRPr="00EF3A62" w:rsidRDefault="00EB2586" w:rsidP="008F7D93">
      <w:r w:rsidRPr="00EF3A62">
        <w:separator/>
      </w:r>
    </w:p>
  </w:footnote>
  <w:footnote w:type="continuationSeparator" w:id="0">
    <w:p w14:paraId="4406BC93" w14:textId="77777777" w:rsidR="00EB2586" w:rsidRPr="00EF3A62" w:rsidRDefault="00EB2586" w:rsidP="008F7D93">
      <w:r w:rsidRPr="00EF3A62">
        <w:continuationSeparator/>
      </w:r>
    </w:p>
  </w:footnote>
  <w:footnote w:type="continuationNotice" w:id="1">
    <w:p w14:paraId="4A51944A" w14:textId="77777777" w:rsidR="00EB2586" w:rsidRPr="00EF3A62" w:rsidRDefault="00EB2586" w:rsidP="008F7D93"/>
  </w:footnote>
  <w:footnote w:id="2">
    <w:p w14:paraId="6B9053CB" w14:textId="77777777" w:rsidR="0047437E" w:rsidRPr="00913BF0" w:rsidRDefault="0047437E" w:rsidP="00474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AA5A" w14:textId="098D6A08" w:rsidR="0043401F" w:rsidRPr="00EF3A62" w:rsidRDefault="00E840DF">
    <w:pPr>
      <w:pStyle w:val="Header"/>
    </w:pPr>
    <w:r>
      <w:rPr>
        <w:noProof/>
      </w:rPr>
      <w:drawing>
        <wp:anchor distT="0" distB="0" distL="114300" distR="114300" simplePos="0" relativeHeight="251660293" behindDoc="1" locked="0" layoutInCell="1" allowOverlap="1" wp14:anchorId="112958CD" wp14:editId="0851097B">
          <wp:simplePos x="0" y="0"/>
          <wp:positionH relativeFrom="page">
            <wp:align>left</wp:align>
          </wp:positionH>
          <wp:positionV relativeFrom="paragraph">
            <wp:posOffset>0</wp:posOffset>
          </wp:positionV>
          <wp:extent cx="7550774" cy="10680691"/>
          <wp:effectExtent l="0" t="0" r="0" b="6985"/>
          <wp:wrapNone/>
          <wp:docPr id="176239689" name="Picture 176239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0774" cy="10680691"/>
                  </a:xfrm>
                  <a:prstGeom prst="rect">
                    <a:avLst/>
                  </a:prstGeom>
                </pic:spPr>
              </pic:pic>
            </a:graphicData>
          </a:graphic>
          <wp14:sizeRelH relativeFrom="page">
            <wp14:pctWidth>0</wp14:pctWidth>
          </wp14:sizeRelH>
          <wp14:sizeRelV relativeFrom="page">
            <wp14:pctHeight>0</wp14:pctHeight>
          </wp14:sizeRelV>
        </wp:anchor>
      </w:drawing>
    </w:r>
    <w:r w:rsidR="003B49EB" w:rsidRPr="003B49EB">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7B70C" w14:textId="27868150" w:rsidR="004203CB" w:rsidRPr="00EF3A62" w:rsidRDefault="002B234B" w:rsidP="008F7D93">
    <w:pPr>
      <w:pStyle w:val="Header"/>
    </w:pPr>
    <w:r w:rsidRPr="00EF3A62">
      <w:rPr>
        <w:noProof/>
      </w:rPr>
      <w:drawing>
        <wp:anchor distT="0" distB="0" distL="114300" distR="114300" simplePos="0" relativeHeight="251658242" behindDoc="0" locked="0" layoutInCell="1" allowOverlap="1" wp14:anchorId="753FAFD1" wp14:editId="6E017979">
          <wp:simplePos x="0" y="0"/>
          <wp:positionH relativeFrom="column">
            <wp:posOffset>0</wp:posOffset>
          </wp:positionH>
          <wp:positionV relativeFrom="paragraph">
            <wp:posOffset>171451</wp:posOffset>
          </wp:positionV>
          <wp:extent cx="1752600" cy="383668"/>
          <wp:effectExtent l="0" t="0" r="0" b="0"/>
          <wp:wrapNone/>
          <wp:docPr id="543892813" name="Picture 4" descr="A black background with blue text&#10;&#10;Description automatically generated">
            <a:extLst xmlns:a="http://schemas.openxmlformats.org/drawingml/2006/main">
              <a:ext uri="{FF2B5EF4-FFF2-40B4-BE49-F238E27FC236}">
                <a16:creationId xmlns:a16="http://schemas.microsoft.com/office/drawing/2014/main" id="{5C1A0F92-DDED-9265-61FA-0DD484E47E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background with blue text&#10;&#10;Description automatically generated">
                    <a:extLst>
                      <a:ext uri="{FF2B5EF4-FFF2-40B4-BE49-F238E27FC236}">
                        <a16:creationId xmlns:a16="http://schemas.microsoft.com/office/drawing/2014/main" id="{5C1A0F92-DDED-9265-61FA-0DD484E47E53}"/>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3836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E00D22" w14:textId="5F5477F8" w:rsidR="004C45E6" w:rsidRPr="00EF3A62" w:rsidRDefault="002B234B" w:rsidP="008F7D93">
    <w:pPr>
      <w:pStyle w:val="Header"/>
    </w:pPr>
    <w:r w:rsidRPr="00EF3A62">
      <w:rPr>
        <w:noProof/>
      </w:rPr>
      <w:drawing>
        <wp:anchor distT="0" distB="0" distL="114300" distR="114300" simplePos="0" relativeHeight="251658243" behindDoc="0" locked="0" layoutInCell="1" allowOverlap="1" wp14:anchorId="2F353B39" wp14:editId="147BD75B">
          <wp:simplePos x="0" y="0"/>
          <wp:positionH relativeFrom="column">
            <wp:posOffset>84438</wp:posOffset>
          </wp:positionH>
          <wp:positionV relativeFrom="paragraph">
            <wp:posOffset>471170</wp:posOffset>
          </wp:positionV>
          <wp:extent cx="6089015" cy="45719"/>
          <wp:effectExtent l="0" t="0" r="0" b="0"/>
          <wp:wrapNone/>
          <wp:docPr id="1811272966" name="Picture 5">
            <a:extLst xmlns:a="http://schemas.openxmlformats.org/drawingml/2006/main">
              <a:ext uri="{FF2B5EF4-FFF2-40B4-BE49-F238E27FC236}">
                <a16:creationId xmlns:a16="http://schemas.microsoft.com/office/drawing/2014/main" id="{78D09F00-20B7-3F85-F8CE-89777230FB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8D09F00-20B7-3F85-F8CE-89777230FBE6}"/>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89015" cy="457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A62">
      <w:rPr>
        <w:noProof/>
      </w:rPr>
      <w:drawing>
        <wp:anchor distT="0" distB="0" distL="114300" distR="114300" simplePos="0" relativeHeight="251658241" behindDoc="0" locked="0" layoutInCell="1" allowOverlap="1" wp14:anchorId="7AE242ED" wp14:editId="499E18BC">
          <wp:simplePos x="0" y="0"/>
          <wp:positionH relativeFrom="column">
            <wp:posOffset>5022850</wp:posOffset>
          </wp:positionH>
          <wp:positionV relativeFrom="paragraph">
            <wp:posOffset>8890</wp:posOffset>
          </wp:positionV>
          <wp:extent cx="1066800" cy="353319"/>
          <wp:effectExtent l="0" t="0" r="0" b="8890"/>
          <wp:wrapNone/>
          <wp:docPr id="1952092664" name="Picture 3" descr="A picture containing text&#10;&#10;Description automatically generated">
            <a:extLst xmlns:a="http://schemas.openxmlformats.org/drawingml/2006/main">
              <a:ext uri="{FF2B5EF4-FFF2-40B4-BE49-F238E27FC236}">
                <a16:creationId xmlns:a16="http://schemas.microsoft.com/office/drawing/2014/main" id="{13EA0114-AFC9-EFE9-49C9-3DD10D377A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10;&#10;Description automatically generated">
                    <a:extLst>
                      <a:ext uri="{FF2B5EF4-FFF2-40B4-BE49-F238E27FC236}">
                        <a16:creationId xmlns:a16="http://schemas.microsoft.com/office/drawing/2014/main" id="{13EA0114-AFC9-EFE9-49C9-3DD10D377A56}"/>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6800" cy="35331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pT1S8pqk" int2:invalidationBookmarkName="" int2:hashCode="VjEyTIQG5Cw5J+" int2:id="9GZbzMUY">
      <int2:state int2:value="Rejected" int2:type="style"/>
    </int2:bookmark>
    <int2:bookmark int2:bookmarkName="_Int_wNt10vAS" int2:invalidationBookmarkName="" int2:hashCode="G/WzxjWenoOHdm" int2:id="kKS5jq4W">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A4B"/>
    <w:multiLevelType w:val="multilevel"/>
    <w:tmpl w:val="B962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D33AC"/>
    <w:multiLevelType w:val="multilevel"/>
    <w:tmpl w:val="2EB6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050D3"/>
    <w:multiLevelType w:val="multilevel"/>
    <w:tmpl w:val="D2BE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CD3575"/>
    <w:multiLevelType w:val="multilevel"/>
    <w:tmpl w:val="18A0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115C0"/>
    <w:multiLevelType w:val="multilevel"/>
    <w:tmpl w:val="46A4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1A017C"/>
    <w:multiLevelType w:val="hybridMultilevel"/>
    <w:tmpl w:val="A8C03706"/>
    <w:lvl w:ilvl="0" w:tplc="5A8894B2">
      <w:start w:val="1"/>
      <w:numFmt w:val="bullet"/>
      <w:pStyle w:val="Bullets"/>
      <w:lvlText w:val=""/>
      <w:lvlJc w:val="left"/>
      <w:pPr>
        <w:ind w:left="1440" w:hanging="360"/>
      </w:pPr>
      <w:rPr>
        <w:rFonts w:ascii="Symbol" w:hAnsi="Symbol" w:hint="default"/>
        <w:color w:val="1C1F63"/>
        <w:u w:color="1C1F63" w:themeColor="text1"/>
      </w:rPr>
    </w:lvl>
    <w:lvl w:ilvl="1" w:tplc="6256E598">
      <w:start w:val="1"/>
      <w:numFmt w:val="bullet"/>
      <w:lvlText w:val=""/>
      <w:lvlJc w:val="left"/>
      <w:pPr>
        <w:ind w:left="2160" w:hanging="360"/>
      </w:pPr>
      <w:rPr>
        <w:rFonts w:ascii="Wingdings" w:hAnsi="Wingdings" w:hint="default"/>
        <w:color w:val="1C1F63"/>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382D4C"/>
    <w:multiLevelType w:val="multilevel"/>
    <w:tmpl w:val="0FF21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64893"/>
    <w:multiLevelType w:val="multilevel"/>
    <w:tmpl w:val="CEC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2F1428"/>
    <w:multiLevelType w:val="hybridMultilevel"/>
    <w:tmpl w:val="8036F490"/>
    <w:lvl w:ilvl="0" w:tplc="2B4C4B84">
      <w:start w:val="1"/>
      <w:numFmt w:val="decimal"/>
      <w:lvlText w:val="%1."/>
      <w:lvlJc w:val="left"/>
      <w:pPr>
        <w:ind w:left="720" w:hanging="360"/>
      </w:pPr>
      <w:rPr>
        <w:rFonts w:eastAsia="Aptos" w:hint="default"/>
        <w:color w:val="1C1F63"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6F3CAD"/>
    <w:multiLevelType w:val="multilevel"/>
    <w:tmpl w:val="0AE0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2E2420"/>
    <w:multiLevelType w:val="multilevel"/>
    <w:tmpl w:val="5384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BC29A3"/>
    <w:multiLevelType w:val="multilevel"/>
    <w:tmpl w:val="1D66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283A75"/>
    <w:multiLevelType w:val="hybridMultilevel"/>
    <w:tmpl w:val="9FE832AC"/>
    <w:lvl w:ilvl="0" w:tplc="6C929030">
      <w:start w:val="1"/>
      <w:numFmt w:val="decimal"/>
      <w:lvlText w:val="%1."/>
      <w:lvlJc w:val="left"/>
      <w:pPr>
        <w:ind w:left="720" w:hanging="360"/>
      </w:pPr>
    </w:lvl>
    <w:lvl w:ilvl="1" w:tplc="060EBA1C">
      <w:start w:val="1"/>
      <w:numFmt w:val="lowerLetter"/>
      <w:lvlText w:val="%2."/>
      <w:lvlJc w:val="left"/>
      <w:pPr>
        <w:ind w:left="1440" w:hanging="360"/>
      </w:pPr>
    </w:lvl>
    <w:lvl w:ilvl="2" w:tplc="462C9998">
      <w:start w:val="1"/>
      <w:numFmt w:val="lowerRoman"/>
      <w:lvlText w:val="%3."/>
      <w:lvlJc w:val="right"/>
      <w:pPr>
        <w:ind w:left="2160" w:hanging="180"/>
      </w:pPr>
    </w:lvl>
    <w:lvl w:ilvl="3" w:tplc="F66670B8">
      <w:start w:val="1"/>
      <w:numFmt w:val="decimal"/>
      <w:lvlText w:val="%4."/>
      <w:lvlJc w:val="left"/>
      <w:pPr>
        <w:ind w:left="2880" w:hanging="360"/>
      </w:pPr>
    </w:lvl>
    <w:lvl w:ilvl="4" w:tplc="BF64EFDC">
      <w:start w:val="1"/>
      <w:numFmt w:val="lowerLetter"/>
      <w:lvlText w:val="%5."/>
      <w:lvlJc w:val="left"/>
      <w:pPr>
        <w:ind w:left="3600" w:hanging="360"/>
      </w:pPr>
    </w:lvl>
    <w:lvl w:ilvl="5" w:tplc="764CE73E">
      <w:start w:val="1"/>
      <w:numFmt w:val="lowerRoman"/>
      <w:lvlText w:val="%6."/>
      <w:lvlJc w:val="right"/>
      <w:pPr>
        <w:ind w:left="4320" w:hanging="180"/>
      </w:pPr>
    </w:lvl>
    <w:lvl w:ilvl="6" w:tplc="C6CAEFF4">
      <w:start w:val="1"/>
      <w:numFmt w:val="decimal"/>
      <w:lvlText w:val="%7."/>
      <w:lvlJc w:val="left"/>
      <w:pPr>
        <w:ind w:left="5040" w:hanging="360"/>
      </w:pPr>
    </w:lvl>
    <w:lvl w:ilvl="7" w:tplc="EC249E5A">
      <w:start w:val="1"/>
      <w:numFmt w:val="lowerLetter"/>
      <w:lvlText w:val="%8."/>
      <w:lvlJc w:val="left"/>
      <w:pPr>
        <w:ind w:left="5760" w:hanging="360"/>
      </w:pPr>
    </w:lvl>
    <w:lvl w:ilvl="8" w:tplc="90D6C584">
      <w:start w:val="1"/>
      <w:numFmt w:val="lowerRoman"/>
      <w:lvlText w:val="%9."/>
      <w:lvlJc w:val="right"/>
      <w:pPr>
        <w:ind w:left="6480" w:hanging="180"/>
      </w:pPr>
    </w:lvl>
  </w:abstractNum>
  <w:abstractNum w:abstractNumId="13" w15:restartNumberingAfterBreak="0">
    <w:nsid w:val="39873222"/>
    <w:multiLevelType w:val="multilevel"/>
    <w:tmpl w:val="F6247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614EC"/>
    <w:multiLevelType w:val="hybridMultilevel"/>
    <w:tmpl w:val="92EAA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597AF2"/>
    <w:multiLevelType w:val="hybridMultilevel"/>
    <w:tmpl w:val="B8F05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8D31078"/>
    <w:multiLevelType w:val="multilevel"/>
    <w:tmpl w:val="DC2C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4D60E8"/>
    <w:multiLevelType w:val="hybridMultilevel"/>
    <w:tmpl w:val="087E1FD4"/>
    <w:lvl w:ilvl="0" w:tplc="0734AFF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877B8"/>
    <w:multiLevelType w:val="multilevel"/>
    <w:tmpl w:val="56102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7D5098"/>
    <w:multiLevelType w:val="multilevel"/>
    <w:tmpl w:val="4672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5A591C"/>
    <w:multiLevelType w:val="multilevel"/>
    <w:tmpl w:val="BFCE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4E035D"/>
    <w:multiLevelType w:val="multilevel"/>
    <w:tmpl w:val="73FC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D703CB"/>
    <w:multiLevelType w:val="multilevel"/>
    <w:tmpl w:val="4224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9E6456"/>
    <w:multiLevelType w:val="hybridMultilevel"/>
    <w:tmpl w:val="F3966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B97A82"/>
    <w:multiLevelType w:val="multilevel"/>
    <w:tmpl w:val="25A2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01020C"/>
    <w:multiLevelType w:val="multilevel"/>
    <w:tmpl w:val="7E02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831EF2"/>
    <w:multiLevelType w:val="hybridMultilevel"/>
    <w:tmpl w:val="7D046C3C"/>
    <w:lvl w:ilvl="0" w:tplc="DB1080B0">
      <w:start w:val="1"/>
      <w:numFmt w:val="decimal"/>
      <w:pStyle w:val="Heading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35573269">
    <w:abstractNumId w:val="5"/>
  </w:num>
  <w:num w:numId="2" w16cid:durableId="4916772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3209028">
    <w:abstractNumId w:val="23"/>
  </w:num>
  <w:num w:numId="4" w16cid:durableId="1372651973">
    <w:abstractNumId w:val="24"/>
  </w:num>
  <w:num w:numId="5" w16cid:durableId="1174881767">
    <w:abstractNumId w:val="2"/>
  </w:num>
  <w:num w:numId="6" w16cid:durableId="668674766">
    <w:abstractNumId w:val="0"/>
  </w:num>
  <w:num w:numId="7" w16cid:durableId="1966110231">
    <w:abstractNumId w:val="18"/>
  </w:num>
  <w:num w:numId="8" w16cid:durableId="196092661">
    <w:abstractNumId w:val="7"/>
  </w:num>
  <w:num w:numId="9" w16cid:durableId="961499529">
    <w:abstractNumId w:val="13"/>
  </w:num>
  <w:num w:numId="10" w16cid:durableId="1913194321">
    <w:abstractNumId w:val="20"/>
  </w:num>
  <w:num w:numId="11" w16cid:durableId="575674680">
    <w:abstractNumId w:val="22"/>
  </w:num>
  <w:num w:numId="12" w16cid:durableId="243606904">
    <w:abstractNumId w:val="9"/>
  </w:num>
  <w:num w:numId="13" w16cid:durableId="1720015903">
    <w:abstractNumId w:val="16"/>
  </w:num>
  <w:num w:numId="14" w16cid:durableId="796679451">
    <w:abstractNumId w:val="4"/>
  </w:num>
  <w:num w:numId="15" w16cid:durableId="227999924">
    <w:abstractNumId w:val="11"/>
  </w:num>
  <w:num w:numId="16" w16cid:durableId="2117288491">
    <w:abstractNumId w:val="21"/>
  </w:num>
  <w:num w:numId="17" w16cid:durableId="803620455">
    <w:abstractNumId w:val="3"/>
  </w:num>
  <w:num w:numId="18" w16cid:durableId="722749113">
    <w:abstractNumId w:val="10"/>
  </w:num>
  <w:num w:numId="19" w16cid:durableId="1561404107">
    <w:abstractNumId w:val="19"/>
  </w:num>
  <w:num w:numId="20" w16cid:durableId="2093382890">
    <w:abstractNumId w:val="25"/>
  </w:num>
  <w:num w:numId="21" w16cid:durableId="252205142">
    <w:abstractNumId w:val="8"/>
  </w:num>
  <w:num w:numId="22" w16cid:durableId="684358503">
    <w:abstractNumId w:val="17"/>
  </w:num>
  <w:num w:numId="23" w16cid:durableId="1252662813">
    <w:abstractNumId w:val="6"/>
  </w:num>
  <w:num w:numId="24" w16cid:durableId="703602134">
    <w:abstractNumId w:val="15"/>
  </w:num>
  <w:num w:numId="25" w16cid:durableId="2094810386">
    <w:abstractNumId w:val="1"/>
  </w:num>
  <w:num w:numId="26" w16cid:durableId="378672877">
    <w:abstractNumId w:val="14"/>
  </w:num>
  <w:num w:numId="27" w16cid:durableId="210117673">
    <w:abstractNumId w:val="12"/>
  </w:num>
  <w:num w:numId="28" w16cid:durableId="2233008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11540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70708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5E6"/>
    <w:rsid w:val="00000A55"/>
    <w:rsid w:val="00001256"/>
    <w:rsid w:val="00001DB8"/>
    <w:rsid w:val="000051F7"/>
    <w:rsid w:val="0000527F"/>
    <w:rsid w:val="00006CFF"/>
    <w:rsid w:val="000105B1"/>
    <w:rsid w:val="00016C88"/>
    <w:rsid w:val="00017109"/>
    <w:rsid w:val="000175B3"/>
    <w:rsid w:val="00024844"/>
    <w:rsid w:val="00024FDC"/>
    <w:rsid w:val="000303CB"/>
    <w:rsid w:val="0003192B"/>
    <w:rsid w:val="00032F96"/>
    <w:rsid w:val="0003460A"/>
    <w:rsid w:val="0003731C"/>
    <w:rsid w:val="00037660"/>
    <w:rsid w:val="00041991"/>
    <w:rsid w:val="00042091"/>
    <w:rsid w:val="00042107"/>
    <w:rsid w:val="000426B0"/>
    <w:rsid w:val="00055670"/>
    <w:rsid w:val="00057B3A"/>
    <w:rsid w:val="000615EE"/>
    <w:rsid w:val="00065A16"/>
    <w:rsid w:val="00066024"/>
    <w:rsid w:val="00074176"/>
    <w:rsid w:val="000759FE"/>
    <w:rsid w:val="000804F2"/>
    <w:rsid w:val="00082A01"/>
    <w:rsid w:val="00084E92"/>
    <w:rsid w:val="000858D3"/>
    <w:rsid w:val="000861DA"/>
    <w:rsid w:val="000934A1"/>
    <w:rsid w:val="00093982"/>
    <w:rsid w:val="0009792F"/>
    <w:rsid w:val="00097A66"/>
    <w:rsid w:val="00097F6C"/>
    <w:rsid w:val="000A10C1"/>
    <w:rsid w:val="000A1A5E"/>
    <w:rsid w:val="000A314A"/>
    <w:rsid w:val="000A590D"/>
    <w:rsid w:val="000B1964"/>
    <w:rsid w:val="000B3FFD"/>
    <w:rsid w:val="000B502C"/>
    <w:rsid w:val="000C4A32"/>
    <w:rsid w:val="000C5FFA"/>
    <w:rsid w:val="000C70A4"/>
    <w:rsid w:val="000D737C"/>
    <w:rsid w:val="000D76C8"/>
    <w:rsid w:val="000E139B"/>
    <w:rsid w:val="000E5F8D"/>
    <w:rsid w:val="000E6A52"/>
    <w:rsid w:val="000E7F1C"/>
    <w:rsid w:val="000F020E"/>
    <w:rsid w:val="000F331B"/>
    <w:rsid w:val="00101B0F"/>
    <w:rsid w:val="001034B5"/>
    <w:rsid w:val="0010518E"/>
    <w:rsid w:val="0010546C"/>
    <w:rsid w:val="00107B7B"/>
    <w:rsid w:val="00111AB3"/>
    <w:rsid w:val="00111DBB"/>
    <w:rsid w:val="00114195"/>
    <w:rsid w:val="001202C2"/>
    <w:rsid w:val="00121671"/>
    <w:rsid w:val="00124382"/>
    <w:rsid w:val="00124668"/>
    <w:rsid w:val="00124E6E"/>
    <w:rsid w:val="00126D8A"/>
    <w:rsid w:val="00131291"/>
    <w:rsid w:val="00132FC3"/>
    <w:rsid w:val="00134337"/>
    <w:rsid w:val="001368FB"/>
    <w:rsid w:val="00136B01"/>
    <w:rsid w:val="0014224B"/>
    <w:rsid w:val="001428C2"/>
    <w:rsid w:val="00142E44"/>
    <w:rsid w:val="001462B3"/>
    <w:rsid w:val="0015010D"/>
    <w:rsid w:val="00152595"/>
    <w:rsid w:val="00154EF3"/>
    <w:rsid w:val="0016124A"/>
    <w:rsid w:val="00161CE4"/>
    <w:rsid w:val="00161FA9"/>
    <w:rsid w:val="00162280"/>
    <w:rsid w:val="00164A31"/>
    <w:rsid w:val="00165120"/>
    <w:rsid w:val="00166A86"/>
    <w:rsid w:val="00166BBB"/>
    <w:rsid w:val="0016701B"/>
    <w:rsid w:val="00167C5C"/>
    <w:rsid w:val="00167E4A"/>
    <w:rsid w:val="00170641"/>
    <w:rsid w:val="00173DE4"/>
    <w:rsid w:val="001751B9"/>
    <w:rsid w:val="00180936"/>
    <w:rsid w:val="001818FD"/>
    <w:rsid w:val="0018412F"/>
    <w:rsid w:val="00184AA2"/>
    <w:rsid w:val="00184FE1"/>
    <w:rsid w:val="00185BAE"/>
    <w:rsid w:val="001866CE"/>
    <w:rsid w:val="001872AF"/>
    <w:rsid w:val="00193E0D"/>
    <w:rsid w:val="00193EFF"/>
    <w:rsid w:val="00194654"/>
    <w:rsid w:val="00195D95"/>
    <w:rsid w:val="00197281"/>
    <w:rsid w:val="001A1F28"/>
    <w:rsid w:val="001A30F2"/>
    <w:rsid w:val="001A3167"/>
    <w:rsid w:val="001A3200"/>
    <w:rsid w:val="001A77E0"/>
    <w:rsid w:val="001B5E1F"/>
    <w:rsid w:val="001B7838"/>
    <w:rsid w:val="001B7B44"/>
    <w:rsid w:val="001B7FF2"/>
    <w:rsid w:val="001C01E3"/>
    <w:rsid w:val="001C03C3"/>
    <w:rsid w:val="001C40B6"/>
    <w:rsid w:val="001D0814"/>
    <w:rsid w:val="001D0CED"/>
    <w:rsid w:val="001D19D0"/>
    <w:rsid w:val="001D1ECF"/>
    <w:rsid w:val="001D4F10"/>
    <w:rsid w:val="001D7470"/>
    <w:rsid w:val="001D7CF7"/>
    <w:rsid w:val="001E6365"/>
    <w:rsid w:val="001E6D3E"/>
    <w:rsid w:val="001F2B6B"/>
    <w:rsid w:val="001F748B"/>
    <w:rsid w:val="00202172"/>
    <w:rsid w:val="00202D24"/>
    <w:rsid w:val="0020383F"/>
    <w:rsid w:val="00205A75"/>
    <w:rsid w:val="002066AB"/>
    <w:rsid w:val="00210E82"/>
    <w:rsid w:val="00211D80"/>
    <w:rsid w:val="002124FD"/>
    <w:rsid w:val="00215861"/>
    <w:rsid w:val="00217AA4"/>
    <w:rsid w:val="002243BA"/>
    <w:rsid w:val="002256F7"/>
    <w:rsid w:val="00225E35"/>
    <w:rsid w:val="0022665B"/>
    <w:rsid w:val="0023016A"/>
    <w:rsid w:val="00230DCF"/>
    <w:rsid w:val="00230E66"/>
    <w:rsid w:val="00233A81"/>
    <w:rsid w:val="00236BBD"/>
    <w:rsid w:val="00240531"/>
    <w:rsid w:val="00242141"/>
    <w:rsid w:val="00242C3E"/>
    <w:rsid w:val="002467FC"/>
    <w:rsid w:val="002513BA"/>
    <w:rsid w:val="0025149E"/>
    <w:rsid w:val="002523E2"/>
    <w:rsid w:val="00254162"/>
    <w:rsid w:val="00255DC5"/>
    <w:rsid w:val="002565E0"/>
    <w:rsid w:val="00257617"/>
    <w:rsid w:val="002625EA"/>
    <w:rsid w:val="00262DD9"/>
    <w:rsid w:val="002646D0"/>
    <w:rsid w:val="00264C16"/>
    <w:rsid w:val="00266657"/>
    <w:rsid w:val="002701E2"/>
    <w:rsid w:val="002701F9"/>
    <w:rsid w:val="00271AFE"/>
    <w:rsid w:val="00272073"/>
    <w:rsid w:val="00272238"/>
    <w:rsid w:val="00272FEF"/>
    <w:rsid w:val="002734BE"/>
    <w:rsid w:val="00274848"/>
    <w:rsid w:val="002801B5"/>
    <w:rsid w:val="00283686"/>
    <w:rsid w:val="00283C79"/>
    <w:rsid w:val="00284C6A"/>
    <w:rsid w:val="002866CC"/>
    <w:rsid w:val="00287A60"/>
    <w:rsid w:val="002A09B2"/>
    <w:rsid w:val="002A21F0"/>
    <w:rsid w:val="002A639A"/>
    <w:rsid w:val="002A66E1"/>
    <w:rsid w:val="002A7AEC"/>
    <w:rsid w:val="002B0A35"/>
    <w:rsid w:val="002B16FE"/>
    <w:rsid w:val="002B234B"/>
    <w:rsid w:val="002B652C"/>
    <w:rsid w:val="002B7AB4"/>
    <w:rsid w:val="002C0076"/>
    <w:rsid w:val="002C03F4"/>
    <w:rsid w:val="002C0956"/>
    <w:rsid w:val="002C2763"/>
    <w:rsid w:val="002C2CCB"/>
    <w:rsid w:val="002C44D4"/>
    <w:rsid w:val="002C6469"/>
    <w:rsid w:val="002C6B7A"/>
    <w:rsid w:val="002C6F8D"/>
    <w:rsid w:val="002D4782"/>
    <w:rsid w:val="002D5ED2"/>
    <w:rsid w:val="002D7412"/>
    <w:rsid w:val="002D7925"/>
    <w:rsid w:val="002E0E64"/>
    <w:rsid w:val="002E297F"/>
    <w:rsid w:val="002E4668"/>
    <w:rsid w:val="002E4A58"/>
    <w:rsid w:val="002E60B0"/>
    <w:rsid w:val="002E6C91"/>
    <w:rsid w:val="002E7EB4"/>
    <w:rsid w:val="002F062B"/>
    <w:rsid w:val="002F0A54"/>
    <w:rsid w:val="002F2289"/>
    <w:rsid w:val="002F243A"/>
    <w:rsid w:val="002F3DF3"/>
    <w:rsid w:val="002F54E3"/>
    <w:rsid w:val="002F569E"/>
    <w:rsid w:val="002F7F33"/>
    <w:rsid w:val="003038BF"/>
    <w:rsid w:val="00305A70"/>
    <w:rsid w:val="0030747B"/>
    <w:rsid w:val="00307545"/>
    <w:rsid w:val="00310B62"/>
    <w:rsid w:val="00311AF5"/>
    <w:rsid w:val="00316243"/>
    <w:rsid w:val="00317AFE"/>
    <w:rsid w:val="003213E5"/>
    <w:rsid w:val="003222F4"/>
    <w:rsid w:val="00322935"/>
    <w:rsid w:val="00327BCF"/>
    <w:rsid w:val="003367E3"/>
    <w:rsid w:val="0035000D"/>
    <w:rsid w:val="00350FA3"/>
    <w:rsid w:val="0035523B"/>
    <w:rsid w:val="0036061A"/>
    <w:rsid w:val="00360A4E"/>
    <w:rsid w:val="003610FB"/>
    <w:rsid w:val="00361D42"/>
    <w:rsid w:val="00362423"/>
    <w:rsid w:val="0036519A"/>
    <w:rsid w:val="00370C7A"/>
    <w:rsid w:val="00371DEA"/>
    <w:rsid w:val="003730F0"/>
    <w:rsid w:val="003751DD"/>
    <w:rsid w:val="003810D4"/>
    <w:rsid w:val="003816CE"/>
    <w:rsid w:val="0038527C"/>
    <w:rsid w:val="00385355"/>
    <w:rsid w:val="00387F65"/>
    <w:rsid w:val="00392DE3"/>
    <w:rsid w:val="00392E58"/>
    <w:rsid w:val="00396A1F"/>
    <w:rsid w:val="003A0E0C"/>
    <w:rsid w:val="003A1B31"/>
    <w:rsid w:val="003A2F7B"/>
    <w:rsid w:val="003A3556"/>
    <w:rsid w:val="003A6D7A"/>
    <w:rsid w:val="003A7CC3"/>
    <w:rsid w:val="003B49EB"/>
    <w:rsid w:val="003B5F66"/>
    <w:rsid w:val="003B64BD"/>
    <w:rsid w:val="003B6A5A"/>
    <w:rsid w:val="003C1301"/>
    <w:rsid w:val="003C59E1"/>
    <w:rsid w:val="003C71FF"/>
    <w:rsid w:val="003D2C31"/>
    <w:rsid w:val="003D3372"/>
    <w:rsid w:val="003D3815"/>
    <w:rsid w:val="003D6FB9"/>
    <w:rsid w:val="003E12A0"/>
    <w:rsid w:val="003E2FAB"/>
    <w:rsid w:val="003E6989"/>
    <w:rsid w:val="003F18EF"/>
    <w:rsid w:val="003F3DAA"/>
    <w:rsid w:val="003F5D7A"/>
    <w:rsid w:val="003F6CAA"/>
    <w:rsid w:val="00401165"/>
    <w:rsid w:val="00401172"/>
    <w:rsid w:val="00401700"/>
    <w:rsid w:val="00411E4A"/>
    <w:rsid w:val="004124B7"/>
    <w:rsid w:val="00412A95"/>
    <w:rsid w:val="00413606"/>
    <w:rsid w:val="004203CB"/>
    <w:rsid w:val="004206FD"/>
    <w:rsid w:val="00421E30"/>
    <w:rsid w:val="0042343F"/>
    <w:rsid w:val="004235FD"/>
    <w:rsid w:val="00423B76"/>
    <w:rsid w:val="00424F5F"/>
    <w:rsid w:val="00425105"/>
    <w:rsid w:val="0042784F"/>
    <w:rsid w:val="00431B93"/>
    <w:rsid w:val="00431C50"/>
    <w:rsid w:val="0043292E"/>
    <w:rsid w:val="00433108"/>
    <w:rsid w:val="00433EAA"/>
    <w:rsid w:val="0043401F"/>
    <w:rsid w:val="0043688B"/>
    <w:rsid w:val="00436DDE"/>
    <w:rsid w:val="00437935"/>
    <w:rsid w:val="00440537"/>
    <w:rsid w:val="004442A5"/>
    <w:rsid w:val="004478C1"/>
    <w:rsid w:val="0045027F"/>
    <w:rsid w:val="004507D4"/>
    <w:rsid w:val="004533CA"/>
    <w:rsid w:val="00453B2D"/>
    <w:rsid w:val="004620F1"/>
    <w:rsid w:val="00463703"/>
    <w:rsid w:val="00464665"/>
    <w:rsid w:val="00467817"/>
    <w:rsid w:val="004705A4"/>
    <w:rsid w:val="0047204A"/>
    <w:rsid w:val="0047437E"/>
    <w:rsid w:val="0047703A"/>
    <w:rsid w:val="004777AB"/>
    <w:rsid w:val="00477D34"/>
    <w:rsid w:val="004803F3"/>
    <w:rsid w:val="00480EC7"/>
    <w:rsid w:val="00482BE9"/>
    <w:rsid w:val="004832CE"/>
    <w:rsid w:val="00484E91"/>
    <w:rsid w:val="004851B9"/>
    <w:rsid w:val="00486F91"/>
    <w:rsid w:val="00487271"/>
    <w:rsid w:val="004874E2"/>
    <w:rsid w:val="00487742"/>
    <w:rsid w:val="0049162E"/>
    <w:rsid w:val="004956E7"/>
    <w:rsid w:val="0049687B"/>
    <w:rsid w:val="004A22A1"/>
    <w:rsid w:val="004A4205"/>
    <w:rsid w:val="004A4457"/>
    <w:rsid w:val="004A5EF6"/>
    <w:rsid w:val="004A72E7"/>
    <w:rsid w:val="004B0115"/>
    <w:rsid w:val="004B1FDE"/>
    <w:rsid w:val="004B252D"/>
    <w:rsid w:val="004B272F"/>
    <w:rsid w:val="004C07D8"/>
    <w:rsid w:val="004C28A5"/>
    <w:rsid w:val="004C45E6"/>
    <w:rsid w:val="004D0430"/>
    <w:rsid w:val="004D2736"/>
    <w:rsid w:val="004D5552"/>
    <w:rsid w:val="004D58C9"/>
    <w:rsid w:val="004D607D"/>
    <w:rsid w:val="004E0409"/>
    <w:rsid w:val="004E2B2A"/>
    <w:rsid w:val="004E4E13"/>
    <w:rsid w:val="004F4551"/>
    <w:rsid w:val="004F5471"/>
    <w:rsid w:val="004F55EE"/>
    <w:rsid w:val="00503FF4"/>
    <w:rsid w:val="00504A0E"/>
    <w:rsid w:val="005050AD"/>
    <w:rsid w:val="00505CB9"/>
    <w:rsid w:val="005062CF"/>
    <w:rsid w:val="005077FC"/>
    <w:rsid w:val="00515359"/>
    <w:rsid w:val="0051621D"/>
    <w:rsid w:val="005200A4"/>
    <w:rsid w:val="005205A1"/>
    <w:rsid w:val="0052147C"/>
    <w:rsid w:val="00521996"/>
    <w:rsid w:val="00524331"/>
    <w:rsid w:val="00525E03"/>
    <w:rsid w:val="005264D8"/>
    <w:rsid w:val="005273A7"/>
    <w:rsid w:val="0053306A"/>
    <w:rsid w:val="00533E85"/>
    <w:rsid w:val="00536AB2"/>
    <w:rsid w:val="00541C8D"/>
    <w:rsid w:val="00544F53"/>
    <w:rsid w:val="00545EB3"/>
    <w:rsid w:val="0055108C"/>
    <w:rsid w:val="00552EEF"/>
    <w:rsid w:val="00556847"/>
    <w:rsid w:val="00556A4E"/>
    <w:rsid w:val="00556CA4"/>
    <w:rsid w:val="0056120A"/>
    <w:rsid w:val="00564AE3"/>
    <w:rsid w:val="005705CC"/>
    <w:rsid w:val="005718E7"/>
    <w:rsid w:val="00571B85"/>
    <w:rsid w:val="0057265C"/>
    <w:rsid w:val="00573338"/>
    <w:rsid w:val="00574309"/>
    <w:rsid w:val="00575ED5"/>
    <w:rsid w:val="005779D4"/>
    <w:rsid w:val="005922A7"/>
    <w:rsid w:val="00594085"/>
    <w:rsid w:val="005969E2"/>
    <w:rsid w:val="00597954"/>
    <w:rsid w:val="00597B2A"/>
    <w:rsid w:val="005A3931"/>
    <w:rsid w:val="005A3CA9"/>
    <w:rsid w:val="005A546A"/>
    <w:rsid w:val="005A6A86"/>
    <w:rsid w:val="005B1673"/>
    <w:rsid w:val="005B4A0F"/>
    <w:rsid w:val="005B6A92"/>
    <w:rsid w:val="005B7A76"/>
    <w:rsid w:val="005C11C0"/>
    <w:rsid w:val="005C159B"/>
    <w:rsid w:val="005C434B"/>
    <w:rsid w:val="005C6CC4"/>
    <w:rsid w:val="005D25F3"/>
    <w:rsid w:val="005D265D"/>
    <w:rsid w:val="005D42B7"/>
    <w:rsid w:val="005D766E"/>
    <w:rsid w:val="005D7A29"/>
    <w:rsid w:val="005E0641"/>
    <w:rsid w:val="005E1395"/>
    <w:rsid w:val="005E1C2C"/>
    <w:rsid w:val="005E5841"/>
    <w:rsid w:val="005E707A"/>
    <w:rsid w:val="005E783B"/>
    <w:rsid w:val="005F0B3D"/>
    <w:rsid w:val="005F2637"/>
    <w:rsid w:val="005F3C94"/>
    <w:rsid w:val="005F3D51"/>
    <w:rsid w:val="006001EA"/>
    <w:rsid w:val="0060055F"/>
    <w:rsid w:val="00600713"/>
    <w:rsid w:val="00602595"/>
    <w:rsid w:val="006036AC"/>
    <w:rsid w:val="006063D1"/>
    <w:rsid w:val="00606DF2"/>
    <w:rsid w:val="00610148"/>
    <w:rsid w:val="00610383"/>
    <w:rsid w:val="00610607"/>
    <w:rsid w:val="0061089C"/>
    <w:rsid w:val="00610FDC"/>
    <w:rsid w:val="0061141F"/>
    <w:rsid w:val="006126BE"/>
    <w:rsid w:val="00613086"/>
    <w:rsid w:val="00614D21"/>
    <w:rsid w:val="006152BD"/>
    <w:rsid w:val="00615594"/>
    <w:rsid w:val="006202E0"/>
    <w:rsid w:val="00620AB0"/>
    <w:rsid w:val="0062149A"/>
    <w:rsid w:val="006217F4"/>
    <w:rsid w:val="00621AA6"/>
    <w:rsid w:val="00621DD3"/>
    <w:rsid w:val="006236E8"/>
    <w:rsid w:val="00631532"/>
    <w:rsid w:val="00631C4E"/>
    <w:rsid w:val="0063591A"/>
    <w:rsid w:val="00640023"/>
    <w:rsid w:val="00641F03"/>
    <w:rsid w:val="0064206C"/>
    <w:rsid w:val="006427DA"/>
    <w:rsid w:val="00645C6F"/>
    <w:rsid w:val="006472A9"/>
    <w:rsid w:val="006566D7"/>
    <w:rsid w:val="00656E43"/>
    <w:rsid w:val="006616E9"/>
    <w:rsid w:val="006624BD"/>
    <w:rsid w:val="0066281E"/>
    <w:rsid w:val="00663B59"/>
    <w:rsid w:val="0066439E"/>
    <w:rsid w:val="00666571"/>
    <w:rsid w:val="00667D62"/>
    <w:rsid w:val="0067166F"/>
    <w:rsid w:val="00674F03"/>
    <w:rsid w:val="00674F5D"/>
    <w:rsid w:val="00677D72"/>
    <w:rsid w:val="00690090"/>
    <w:rsid w:val="006912DF"/>
    <w:rsid w:val="00691761"/>
    <w:rsid w:val="0069262A"/>
    <w:rsid w:val="006944CC"/>
    <w:rsid w:val="006977B8"/>
    <w:rsid w:val="006A0C07"/>
    <w:rsid w:val="006A312E"/>
    <w:rsid w:val="006A79FD"/>
    <w:rsid w:val="006B19EE"/>
    <w:rsid w:val="006B1C87"/>
    <w:rsid w:val="006B21C4"/>
    <w:rsid w:val="006B2245"/>
    <w:rsid w:val="006C0BFE"/>
    <w:rsid w:val="006D1D94"/>
    <w:rsid w:val="006D35F1"/>
    <w:rsid w:val="006D47CA"/>
    <w:rsid w:val="006D53D1"/>
    <w:rsid w:val="006D617E"/>
    <w:rsid w:val="006D79FC"/>
    <w:rsid w:val="006E0DA1"/>
    <w:rsid w:val="006E1B0B"/>
    <w:rsid w:val="006E22D3"/>
    <w:rsid w:val="006E27CB"/>
    <w:rsid w:val="006E30FD"/>
    <w:rsid w:val="006E4E81"/>
    <w:rsid w:val="006E6820"/>
    <w:rsid w:val="006E79E7"/>
    <w:rsid w:val="006F04F1"/>
    <w:rsid w:val="006F4628"/>
    <w:rsid w:val="006F5746"/>
    <w:rsid w:val="00700CFD"/>
    <w:rsid w:val="00701A7B"/>
    <w:rsid w:val="00701BCD"/>
    <w:rsid w:val="007049DC"/>
    <w:rsid w:val="007115BA"/>
    <w:rsid w:val="00711BBB"/>
    <w:rsid w:val="00714CDE"/>
    <w:rsid w:val="0071762B"/>
    <w:rsid w:val="00725C84"/>
    <w:rsid w:val="00727A99"/>
    <w:rsid w:val="007305EE"/>
    <w:rsid w:val="007316B3"/>
    <w:rsid w:val="0073371A"/>
    <w:rsid w:val="00733D06"/>
    <w:rsid w:val="0073743E"/>
    <w:rsid w:val="0074157A"/>
    <w:rsid w:val="00744C9D"/>
    <w:rsid w:val="00747041"/>
    <w:rsid w:val="007512D7"/>
    <w:rsid w:val="007529D3"/>
    <w:rsid w:val="0075386F"/>
    <w:rsid w:val="00757A46"/>
    <w:rsid w:val="00763B8A"/>
    <w:rsid w:val="00764AB3"/>
    <w:rsid w:val="00765A4E"/>
    <w:rsid w:val="00767732"/>
    <w:rsid w:val="00767D43"/>
    <w:rsid w:val="00770540"/>
    <w:rsid w:val="007722DF"/>
    <w:rsid w:val="007727F7"/>
    <w:rsid w:val="00772F06"/>
    <w:rsid w:val="007740FD"/>
    <w:rsid w:val="007754E0"/>
    <w:rsid w:val="00776FE3"/>
    <w:rsid w:val="00781ED0"/>
    <w:rsid w:val="007828F0"/>
    <w:rsid w:val="00782F52"/>
    <w:rsid w:val="00785663"/>
    <w:rsid w:val="00785BEF"/>
    <w:rsid w:val="00785E25"/>
    <w:rsid w:val="00792563"/>
    <w:rsid w:val="007A1683"/>
    <w:rsid w:val="007A1DBE"/>
    <w:rsid w:val="007A671E"/>
    <w:rsid w:val="007A719B"/>
    <w:rsid w:val="007A7DDA"/>
    <w:rsid w:val="007B488A"/>
    <w:rsid w:val="007B7C0D"/>
    <w:rsid w:val="007C0DCF"/>
    <w:rsid w:val="007C5B2B"/>
    <w:rsid w:val="007D15D7"/>
    <w:rsid w:val="007D1F8F"/>
    <w:rsid w:val="007D563A"/>
    <w:rsid w:val="007E1896"/>
    <w:rsid w:val="007E6304"/>
    <w:rsid w:val="007E6480"/>
    <w:rsid w:val="007E68C1"/>
    <w:rsid w:val="007E7E9C"/>
    <w:rsid w:val="007E7FC7"/>
    <w:rsid w:val="007F2629"/>
    <w:rsid w:val="007F531C"/>
    <w:rsid w:val="00800083"/>
    <w:rsid w:val="00802EEE"/>
    <w:rsid w:val="008032A2"/>
    <w:rsid w:val="00804088"/>
    <w:rsid w:val="00806EB4"/>
    <w:rsid w:val="008115AB"/>
    <w:rsid w:val="00815A14"/>
    <w:rsid w:val="00816988"/>
    <w:rsid w:val="00817117"/>
    <w:rsid w:val="00821848"/>
    <w:rsid w:val="008337E1"/>
    <w:rsid w:val="008364CC"/>
    <w:rsid w:val="0084022B"/>
    <w:rsid w:val="00842554"/>
    <w:rsid w:val="00844DC2"/>
    <w:rsid w:val="00845FA7"/>
    <w:rsid w:val="008536B1"/>
    <w:rsid w:val="008541CF"/>
    <w:rsid w:val="00855EE4"/>
    <w:rsid w:val="00856C17"/>
    <w:rsid w:val="00860489"/>
    <w:rsid w:val="00860CEC"/>
    <w:rsid w:val="00861669"/>
    <w:rsid w:val="00861D5A"/>
    <w:rsid w:val="00862EB7"/>
    <w:rsid w:val="00865026"/>
    <w:rsid w:val="00867F20"/>
    <w:rsid w:val="00870A3C"/>
    <w:rsid w:val="00873B77"/>
    <w:rsid w:val="0087421B"/>
    <w:rsid w:val="0087777A"/>
    <w:rsid w:val="00883F7C"/>
    <w:rsid w:val="00886480"/>
    <w:rsid w:val="008867E7"/>
    <w:rsid w:val="008872C2"/>
    <w:rsid w:val="0089235D"/>
    <w:rsid w:val="00893A57"/>
    <w:rsid w:val="00894417"/>
    <w:rsid w:val="008966D0"/>
    <w:rsid w:val="008977BA"/>
    <w:rsid w:val="00897BD9"/>
    <w:rsid w:val="008A093E"/>
    <w:rsid w:val="008A1D54"/>
    <w:rsid w:val="008A6B4C"/>
    <w:rsid w:val="008B01BB"/>
    <w:rsid w:val="008B05B0"/>
    <w:rsid w:val="008B0907"/>
    <w:rsid w:val="008B0C92"/>
    <w:rsid w:val="008B2B42"/>
    <w:rsid w:val="008B5DAF"/>
    <w:rsid w:val="008C0C5A"/>
    <w:rsid w:val="008C38B1"/>
    <w:rsid w:val="008C395F"/>
    <w:rsid w:val="008C489B"/>
    <w:rsid w:val="008D18CE"/>
    <w:rsid w:val="008D29D6"/>
    <w:rsid w:val="008D47C9"/>
    <w:rsid w:val="008D4A8C"/>
    <w:rsid w:val="008D5354"/>
    <w:rsid w:val="008D6F75"/>
    <w:rsid w:val="008E35DD"/>
    <w:rsid w:val="008E6159"/>
    <w:rsid w:val="008E7254"/>
    <w:rsid w:val="008E74AD"/>
    <w:rsid w:val="008F2014"/>
    <w:rsid w:val="008F48E3"/>
    <w:rsid w:val="008F53AE"/>
    <w:rsid w:val="008F6089"/>
    <w:rsid w:val="008F6153"/>
    <w:rsid w:val="008F7D93"/>
    <w:rsid w:val="00904679"/>
    <w:rsid w:val="00911FB4"/>
    <w:rsid w:val="00913B7A"/>
    <w:rsid w:val="00913BF0"/>
    <w:rsid w:val="00917137"/>
    <w:rsid w:val="00917835"/>
    <w:rsid w:val="00922DF6"/>
    <w:rsid w:val="00924FC0"/>
    <w:rsid w:val="009252D6"/>
    <w:rsid w:val="00926A28"/>
    <w:rsid w:val="00926B18"/>
    <w:rsid w:val="0093216E"/>
    <w:rsid w:val="009336BD"/>
    <w:rsid w:val="009369FF"/>
    <w:rsid w:val="009372A4"/>
    <w:rsid w:val="00937810"/>
    <w:rsid w:val="009379B6"/>
    <w:rsid w:val="00946BEE"/>
    <w:rsid w:val="009477E4"/>
    <w:rsid w:val="00952465"/>
    <w:rsid w:val="00952CAB"/>
    <w:rsid w:val="00952EC2"/>
    <w:rsid w:val="00956071"/>
    <w:rsid w:val="00961464"/>
    <w:rsid w:val="009672E2"/>
    <w:rsid w:val="00970901"/>
    <w:rsid w:val="00972E8A"/>
    <w:rsid w:val="0097530D"/>
    <w:rsid w:val="0097576D"/>
    <w:rsid w:val="00976CBC"/>
    <w:rsid w:val="00980793"/>
    <w:rsid w:val="00986D86"/>
    <w:rsid w:val="00991D41"/>
    <w:rsid w:val="0099247B"/>
    <w:rsid w:val="0099545B"/>
    <w:rsid w:val="00995803"/>
    <w:rsid w:val="00996B3D"/>
    <w:rsid w:val="009973BB"/>
    <w:rsid w:val="00997EEF"/>
    <w:rsid w:val="009A1042"/>
    <w:rsid w:val="009A7F13"/>
    <w:rsid w:val="009B07B8"/>
    <w:rsid w:val="009B0BBB"/>
    <w:rsid w:val="009B2180"/>
    <w:rsid w:val="009B3BE6"/>
    <w:rsid w:val="009B4DEF"/>
    <w:rsid w:val="009C362A"/>
    <w:rsid w:val="009C581C"/>
    <w:rsid w:val="009D2ADA"/>
    <w:rsid w:val="009D2BF4"/>
    <w:rsid w:val="009D4134"/>
    <w:rsid w:val="009D64EF"/>
    <w:rsid w:val="009D698B"/>
    <w:rsid w:val="009E073B"/>
    <w:rsid w:val="009E645E"/>
    <w:rsid w:val="009E651F"/>
    <w:rsid w:val="009F42BA"/>
    <w:rsid w:val="009F43D6"/>
    <w:rsid w:val="009F5FED"/>
    <w:rsid w:val="009F65CF"/>
    <w:rsid w:val="00A01356"/>
    <w:rsid w:val="00A0227E"/>
    <w:rsid w:val="00A02D1C"/>
    <w:rsid w:val="00A032EE"/>
    <w:rsid w:val="00A03914"/>
    <w:rsid w:val="00A03B4D"/>
    <w:rsid w:val="00A05107"/>
    <w:rsid w:val="00A06FEE"/>
    <w:rsid w:val="00A12EEC"/>
    <w:rsid w:val="00A13822"/>
    <w:rsid w:val="00A14797"/>
    <w:rsid w:val="00A15289"/>
    <w:rsid w:val="00A16E37"/>
    <w:rsid w:val="00A20269"/>
    <w:rsid w:val="00A25CCE"/>
    <w:rsid w:val="00A314B1"/>
    <w:rsid w:val="00A34273"/>
    <w:rsid w:val="00A37E9B"/>
    <w:rsid w:val="00A40E81"/>
    <w:rsid w:val="00A43139"/>
    <w:rsid w:val="00A44BE2"/>
    <w:rsid w:val="00A45928"/>
    <w:rsid w:val="00A46F87"/>
    <w:rsid w:val="00A4757B"/>
    <w:rsid w:val="00A535EE"/>
    <w:rsid w:val="00A53BD6"/>
    <w:rsid w:val="00A54CED"/>
    <w:rsid w:val="00A55E3F"/>
    <w:rsid w:val="00A61CDE"/>
    <w:rsid w:val="00A638EB"/>
    <w:rsid w:val="00A652DD"/>
    <w:rsid w:val="00A65BAB"/>
    <w:rsid w:val="00A666FF"/>
    <w:rsid w:val="00A669F8"/>
    <w:rsid w:val="00A673D4"/>
    <w:rsid w:val="00A7237D"/>
    <w:rsid w:val="00A72DF4"/>
    <w:rsid w:val="00A758A6"/>
    <w:rsid w:val="00A75A1B"/>
    <w:rsid w:val="00A760E1"/>
    <w:rsid w:val="00A80D55"/>
    <w:rsid w:val="00A84EAB"/>
    <w:rsid w:val="00A85B06"/>
    <w:rsid w:val="00A87046"/>
    <w:rsid w:val="00A87632"/>
    <w:rsid w:val="00A91D23"/>
    <w:rsid w:val="00A92410"/>
    <w:rsid w:val="00A95004"/>
    <w:rsid w:val="00AA54A0"/>
    <w:rsid w:val="00AA5FD6"/>
    <w:rsid w:val="00AB274C"/>
    <w:rsid w:val="00AB2D26"/>
    <w:rsid w:val="00AB322A"/>
    <w:rsid w:val="00AB45A7"/>
    <w:rsid w:val="00AB487C"/>
    <w:rsid w:val="00AB5D93"/>
    <w:rsid w:val="00AC0DB2"/>
    <w:rsid w:val="00AC1601"/>
    <w:rsid w:val="00AC5F2F"/>
    <w:rsid w:val="00AD0D7A"/>
    <w:rsid w:val="00AD13AC"/>
    <w:rsid w:val="00AE01F5"/>
    <w:rsid w:val="00AE201F"/>
    <w:rsid w:val="00AE3C91"/>
    <w:rsid w:val="00AE63FA"/>
    <w:rsid w:val="00AE6BF1"/>
    <w:rsid w:val="00AE79FA"/>
    <w:rsid w:val="00AF14EC"/>
    <w:rsid w:val="00AF2213"/>
    <w:rsid w:val="00AF3F45"/>
    <w:rsid w:val="00AF41A1"/>
    <w:rsid w:val="00AF520E"/>
    <w:rsid w:val="00B016BB"/>
    <w:rsid w:val="00B024E8"/>
    <w:rsid w:val="00B040EA"/>
    <w:rsid w:val="00B0439F"/>
    <w:rsid w:val="00B053E7"/>
    <w:rsid w:val="00B0604D"/>
    <w:rsid w:val="00B0657B"/>
    <w:rsid w:val="00B06AD1"/>
    <w:rsid w:val="00B10538"/>
    <w:rsid w:val="00B10ACA"/>
    <w:rsid w:val="00B1762A"/>
    <w:rsid w:val="00B20815"/>
    <w:rsid w:val="00B2522B"/>
    <w:rsid w:val="00B30AE0"/>
    <w:rsid w:val="00B30E75"/>
    <w:rsid w:val="00B338D3"/>
    <w:rsid w:val="00B34A2B"/>
    <w:rsid w:val="00B37EA5"/>
    <w:rsid w:val="00B40B6C"/>
    <w:rsid w:val="00B42596"/>
    <w:rsid w:val="00B44C60"/>
    <w:rsid w:val="00B452BB"/>
    <w:rsid w:val="00B50DA7"/>
    <w:rsid w:val="00B526D2"/>
    <w:rsid w:val="00B539C6"/>
    <w:rsid w:val="00B55ED7"/>
    <w:rsid w:val="00B56507"/>
    <w:rsid w:val="00B56DA7"/>
    <w:rsid w:val="00B60EDB"/>
    <w:rsid w:val="00B65459"/>
    <w:rsid w:val="00B65BC3"/>
    <w:rsid w:val="00B717ED"/>
    <w:rsid w:val="00B73962"/>
    <w:rsid w:val="00B80549"/>
    <w:rsid w:val="00B807A0"/>
    <w:rsid w:val="00B813FB"/>
    <w:rsid w:val="00B85A13"/>
    <w:rsid w:val="00B86278"/>
    <w:rsid w:val="00B91162"/>
    <w:rsid w:val="00B97FAA"/>
    <w:rsid w:val="00BA367D"/>
    <w:rsid w:val="00BA62EE"/>
    <w:rsid w:val="00BA78BF"/>
    <w:rsid w:val="00BB32A6"/>
    <w:rsid w:val="00BB4A5D"/>
    <w:rsid w:val="00BB54B8"/>
    <w:rsid w:val="00BB6080"/>
    <w:rsid w:val="00BC2928"/>
    <w:rsid w:val="00BC29B9"/>
    <w:rsid w:val="00BC2CE4"/>
    <w:rsid w:val="00BC6930"/>
    <w:rsid w:val="00BC796F"/>
    <w:rsid w:val="00BD43E4"/>
    <w:rsid w:val="00BD5AAA"/>
    <w:rsid w:val="00BE0EFD"/>
    <w:rsid w:val="00BE1812"/>
    <w:rsid w:val="00BE21F2"/>
    <w:rsid w:val="00BF1A30"/>
    <w:rsid w:val="00BF460D"/>
    <w:rsid w:val="00BF4757"/>
    <w:rsid w:val="00BF59AB"/>
    <w:rsid w:val="00C0090E"/>
    <w:rsid w:val="00C00AC4"/>
    <w:rsid w:val="00C01832"/>
    <w:rsid w:val="00C01CA6"/>
    <w:rsid w:val="00C025DC"/>
    <w:rsid w:val="00C0305B"/>
    <w:rsid w:val="00C0738B"/>
    <w:rsid w:val="00C07FE9"/>
    <w:rsid w:val="00C11B36"/>
    <w:rsid w:val="00C12115"/>
    <w:rsid w:val="00C1261E"/>
    <w:rsid w:val="00C128FE"/>
    <w:rsid w:val="00C15DD7"/>
    <w:rsid w:val="00C24726"/>
    <w:rsid w:val="00C24E40"/>
    <w:rsid w:val="00C2582B"/>
    <w:rsid w:val="00C27DFB"/>
    <w:rsid w:val="00C30866"/>
    <w:rsid w:val="00C31347"/>
    <w:rsid w:val="00C31A98"/>
    <w:rsid w:val="00C32C56"/>
    <w:rsid w:val="00C356DB"/>
    <w:rsid w:val="00C35D96"/>
    <w:rsid w:val="00C36E67"/>
    <w:rsid w:val="00C378EB"/>
    <w:rsid w:val="00C40403"/>
    <w:rsid w:val="00C406F0"/>
    <w:rsid w:val="00C419F6"/>
    <w:rsid w:val="00C42F85"/>
    <w:rsid w:val="00C43A68"/>
    <w:rsid w:val="00C451CD"/>
    <w:rsid w:val="00C46028"/>
    <w:rsid w:val="00C503F3"/>
    <w:rsid w:val="00C51CC1"/>
    <w:rsid w:val="00C5215A"/>
    <w:rsid w:val="00C52695"/>
    <w:rsid w:val="00C64D02"/>
    <w:rsid w:val="00C66C49"/>
    <w:rsid w:val="00C67467"/>
    <w:rsid w:val="00C723D2"/>
    <w:rsid w:val="00C72B44"/>
    <w:rsid w:val="00C737D3"/>
    <w:rsid w:val="00C7386A"/>
    <w:rsid w:val="00C804CB"/>
    <w:rsid w:val="00C91309"/>
    <w:rsid w:val="00C92B12"/>
    <w:rsid w:val="00C9472C"/>
    <w:rsid w:val="00CA0992"/>
    <w:rsid w:val="00CA6F89"/>
    <w:rsid w:val="00CA740B"/>
    <w:rsid w:val="00CB2CBC"/>
    <w:rsid w:val="00CB550A"/>
    <w:rsid w:val="00CB7859"/>
    <w:rsid w:val="00CC4D82"/>
    <w:rsid w:val="00CC69FF"/>
    <w:rsid w:val="00CD6DFC"/>
    <w:rsid w:val="00CD7A24"/>
    <w:rsid w:val="00CE0CB6"/>
    <w:rsid w:val="00CE3D61"/>
    <w:rsid w:val="00CE3E07"/>
    <w:rsid w:val="00CE3FFD"/>
    <w:rsid w:val="00CE4B99"/>
    <w:rsid w:val="00CE5F27"/>
    <w:rsid w:val="00CE7244"/>
    <w:rsid w:val="00CF223C"/>
    <w:rsid w:val="00CF2E2F"/>
    <w:rsid w:val="00D00CCD"/>
    <w:rsid w:val="00D01642"/>
    <w:rsid w:val="00D0200D"/>
    <w:rsid w:val="00D03629"/>
    <w:rsid w:val="00D041F1"/>
    <w:rsid w:val="00D10C9A"/>
    <w:rsid w:val="00D14C4C"/>
    <w:rsid w:val="00D15B78"/>
    <w:rsid w:val="00D1799F"/>
    <w:rsid w:val="00D22076"/>
    <w:rsid w:val="00D23755"/>
    <w:rsid w:val="00D243C8"/>
    <w:rsid w:val="00D24418"/>
    <w:rsid w:val="00D25B58"/>
    <w:rsid w:val="00D3095C"/>
    <w:rsid w:val="00D378DF"/>
    <w:rsid w:val="00D400A9"/>
    <w:rsid w:val="00D41155"/>
    <w:rsid w:val="00D423FB"/>
    <w:rsid w:val="00D42D1E"/>
    <w:rsid w:val="00D445C1"/>
    <w:rsid w:val="00D45269"/>
    <w:rsid w:val="00D45BF6"/>
    <w:rsid w:val="00D465C4"/>
    <w:rsid w:val="00D518F9"/>
    <w:rsid w:val="00D52B14"/>
    <w:rsid w:val="00D536A7"/>
    <w:rsid w:val="00D53BCE"/>
    <w:rsid w:val="00D53F7F"/>
    <w:rsid w:val="00D54DA8"/>
    <w:rsid w:val="00D60A94"/>
    <w:rsid w:val="00D6392B"/>
    <w:rsid w:val="00D652E5"/>
    <w:rsid w:val="00D67EF9"/>
    <w:rsid w:val="00D70EB7"/>
    <w:rsid w:val="00D74318"/>
    <w:rsid w:val="00D75B9F"/>
    <w:rsid w:val="00D77307"/>
    <w:rsid w:val="00D82AC3"/>
    <w:rsid w:val="00D92397"/>
    <w:rsid w:val="00D93AAF"/>
    <w:rsid w:val="00DA32DD"/>
    <w:rsid w:val="00DA4766"/>
    <w:rsid w:val="00DA496F"/>
    <w:rsid w:val="00DB09EE"/>
    <w:rsid w:val="00DB168F"/>
    <w:rsid w:val="00DB422E"/>
    <w:rsid w:val="00DB78AC"/>
    <w:rsid w:val="00DC1F98"/>
    <w:rsid w:val="00DC46AF"/>
    <w:rsid w:val="00DC49A0"/>
    <w:rsid w:val="00DC4CDE"/>
    <w:rsid w:val="00DC7962"/>
    <w:rsid w:val="00DD1A39"/>
    <w:rsid w:val="00DD2D10"/>
    <w:rsid w:val="00DD50E9"/>
    <w:rsid w:val="00DD73E4"/>
    <w:rsid w:val="00DE0AF3"/>
    <w:rsid w:val="00DE2028"/>
    <w:rsid w:val="00DE3B54"/>
    <w:rsid w:val="00DE4731"/>
    <w:rsid w:val="00DE704D"/>
    <w:rsid w:val="00DE772B"/>
    <w:rsid w:val="00DF1083"/>
    <w:rsid w:val="00DF1C12"/>
    <w:rsid w:val="00DF24B5"/>
    <w:rsid w:val="00DF5F9C"/>
    <w:rsid w:val="00DF7E48"/>
    <w:rsid w:val="00E00280"/>
    <w:rsid w:val="00E0693A"/>
    <w:rsid w:val="00E110E6"/>
    <w:rsid w:val="00E11D08"/>
    <w:rsid w:val="00E11EE1"/>
    <w:rsid w:val="00E12751"/>
    <w:rsid w:val="00E12C18"/>
    <w:rsid w:val="00E13AD5"/>
    <w:rsid w:val="00E1507D"/>
    <w:rsid w:val="00E16448"/>
    <w:rsid w:val="00E20CFB"/>
    <w:rsid w:val="00E21013"/>
    <w:rsid w:val="00E226CB"/>
    <w:rsid w:val="00E322B7"/>
    <w:rsid w:val="00E4144B"/>
    <w:rsid w:val="00E41A79"/>
    <w:rsid w:val="00E44151"/>
    <w:rsid w:val="00E4611E"/>
    <w:rsid w:val="00E50461"/>
    <w:rsid w:val="00E51B2D"/>
    <w:rsid w:val="00E522FB"/>
    <w:rsid w:val="00E56AED"/>
    <w:rsid w:val="00E57401"/>
    <w:rsid w:val="00E60168"/>
    <w:rsid w:val="00E60EC0"/>
    <w:rsid w:val="00E62EA3"/>
    <w:rsid w:val="00E65D27"/>
    <w:rsid w:val="00E6693D"/>
    <w:rsid w:val="00E66A74"/>
    <w:rsid w:val="00E66C66"/>
    <w:rsid w:val="00E67528"/>
    <w:rsid w:val="00E67B06"/>
    <w:rsid w:val="00E7116A"/>
    <w:rsid w:val="00E745B4"/>
    <w:rsid w:val="00E759DB"/>
    <w:rsid w:val="00E7658E"/>
    <w:rsid w:val="00E81B1E"/>
    <w:rsid w:val="00E82EA5"/>
    <w:rsid w:val="00E83A06"/>
    <w:rsid w:val="00E840DF"/>
    <w:rsid w:val="00E9114A"/>
    <w:rsid w:val="00E930FF"/>
    <w:rsid w:val="00E93F85"/>
    <w:rsid w:val="00E966CB"/>
    <w:rsid w:val="00EB01A8"/>
    <w:rsid w:val="00EB0D0F"/>
    <w:rsid w:val="00EB1483"/>
    <w:rsid w:val="00EB1CF9"/>
    <w:rsid w:val="00EB2586"/>
    <w:rsid w:val="00EB2B3B"/>
    <w:rsid w:val="00EB3111"/>
    <w:rsid w:val="00EB322F"/>
    <w:rsid w:val="00EB524B"/>
    <w:rsid w:val="00EB5701"/>
    <w:rsid w:val="00EB691A"/>
    <w:rsid w:val="00EB74BF"/>
    <w:rsid w:val="00EB7D52"/>
    <w:rsid w:val="00EC47E4"/>
    <w:rsid w:val="00EC4FA1"/>
    <w:rsid w:val="00EC54AA"/>
    <w:rsid w:val="00EC6E33"/>
    <w:rsid w:val="00EC75C0"/>
    <w:rsid w:val="00ED0A0C"/>
    <w:rsid w:val="00ED3A9E"/>
    <w:rsid w:val="00ED3D03"/>
    <w:rsid w:val="00ED4277"/>
    <w:rsid w:val="00EE0039"/>
    <w:rsid w:val="00EE195C"/>
    <w:rsid w:val="00EE1B9E"/>
    <w:rsid w:val="00EE3844"/>
    <w:rsid w:val="00EE4DF5"/>
    <w:rsid w:val="00EE7378"/>
    <w:rsid w:val="00EF1CC3"/>
    <w:rsid w:val="00EF3A62"/>
    <w:rsid w:val="00EF6BD1"/>
    <w:rsid w:val="00F0035A"/>
    <w:rsid w:val="00F01220"/>
    <w:rsid w:val="00F03E3A"/>
    <w:rsid w:val="00F0444E"/>
    <w:rsid w:val="00F05070"/>
    <w:rsid w:val="00F06381"/>
    <w:rsid w:val="00F12428"/>
    <w:rsid w:val="00F15F3E"/>
    <w:rsid w:val="00F17E66"/>
    <w:rsid w:val="00F2103D"/>
    <w:rsid w:val="00F2383E"/>
    <w:rsid w:val="00F25339"/>
    <w:rsid w:val="00F30447"/>
    <w:rsid w:val="00F32961"/>
    <w:rsid w:val="00F34585"/>
    <w:rsid w:val="00F34AC1"/>
    <w:rsid w:val="00F371D2"/>
    <w:rsid w:val="00F3B03D"/>
    <w:rsid w:val="00F4128E"/>
    <w:rsid w:val="00F41841"/>
    <w:rsid w:val="00F427E1"/>
    <w:rsid w:val="00F50428"/>
    <w:rsid w:val="00F54DC5"/>
    <w:rsid w:val="00F54E89"/>
    <w:rsid w:val="00F55491"/>
    <w:rsid w:val="00F56A74"/>
    <w:rsid w:val="00F572BF"/>
    <w:rsid w:val="00F610BD"/>
    <w:rsid w:val="00F64767"/>
    <w:rsid w:val="00F733CD"/>
    <w:rsid w:val="00F75235"/>
    <w:rsid w:val="00F759F8"/>
    <w:rsid w:val="00F76239"/>
    <w:rsid w:val="00F77EE6"/>
    <w:rsid w:val="00F82749"/>
    <w:rsid w:val="00F83063"/>
    <w:rsid w:val="00F85658"/>
    <w:rsid w:val="00F867CF"/>
    <w:rsid w:val="00F86BA7"/>
    <w:rsid w:val="00F9018E"/>
    <w:rsid w:val="00F90407"/>
    <w:rsid w:val="00F90C58"/>
    <w:rsid w:val="00F94417"/>
    <w:rsid w:val="00F97AE8"/>
    <w:rsid w:val="00FA10E7"/>
    <w:rsid w:val="00FA2EB3"/>
    <w:rsid w:val="00FA3427"/>
    <w:rsid w:val="00FA3713"/>
    <w:rsid w:val="00FA37D8"/>
    <w:rsid w:val="00FA4275"/>
    <w:rsid w:val="00FA488C"/>
    <w:rsid w:val="00FB015C"/>
    <w:rsid w:val="00FB039D"/>
    <w:rsid w:val="00FB2948"/>
    <w:rsid w:val="00FC130B"/>
    <w:rsid w:val="00FC34C7"/>
    <w:rsid w:val="00FC4755"/>
    <w:rsid w:val="00FC5BA0"/>
    <w:rsid w:val="00FC6A5C"/>
    <w:rsid w:val="00FD34FD"/>
    <w:rsid w:val="00FD3DEA"/>
    <w:rsid w:val="00FE0DDC"/>
    <w:rsid w:val="00FE12EC"/>
    <w:rsid w:val="00FE7405"/>
    <w:rsid w:val="00FE7FC3"/>
    <w:rsid w:val="00FF1CC7"/>
    <w:rsid w:val="00FF217D"/>
    <w:rsid w:val="00FF27BD"/>
    <w:rsid w:val="00FF7AC5"/>
    <w:rsid w:val="01B791F5"/>
    <w:rsid w:val="035B8F21"/>
    <w:rsid w:val="03A94E63"/>
    <w:rsid w:val="04F3BBB5"/>
    <w:rsid w:val="06176D9D"/>
    <w:rsid w:val="067B3D63"/>
    <w:rsid w:val="06ABF52E"/>
    <w:rsid w:val="0878D635"/>
    <w:rsid w:val="0ADEEBF6"/>
    <w:rsid w:val="0B38F6EE"/>
    <w:rsid w:val="0C57C03C"/>
    <w:rsid w:val="0C92FC31"/>
    <w:rsid w:val="0D306831"/>
    <w:rsid w:val="0DF41273"/>
    <w:rsid w:val="0FCF2117"/>
    <w:rsid w:val="106C023D"/>
    <w:rsid w:val="118DD4A0"/>
    <w:rsid w:val="129C5B95"/>
    <w:rsid w:val="134ACBC6"/>
    <w:rsid w:val="13686782"/>
    <w:rsid w:val="13E19381"/>
    <w:rsid w:val="148DA99F"/>
    <w:rsid w:val="164AC224"/>
    <w:rsid w:val="1650C1DC"/>
    <w:rsid w:val="16D15AF9"/>
    <w:rsid w:val="1897C5C5"/>
    <w:rsid w:val="18C44666"/>
    <w:rsid w:val="1A45BF20"/>
    <w:rsid w:val="1C792565"/>
    <w:rsid w:val="1C811175"/>
    <w:rsid w:val="1ECC99C4"/>
    <w:rsid w:val="1FB8CD78"/>
    <w:rsid w:val="2123912D"/>
    <w:rsid w:val="21B97F18"/>
    <w:rsid w:val="23599B45"/>
    <w:rsid w:val="26B2BCB1"/>
    <w:rsid w:val="279CD2FE"/>
    <w:rsid w:val="28C8D778"/>
    <w:rsid w:val="28CDCB61"/>
    <w:rsid w:val="2A04A636"/>
    <w:rsid w:val="2A73066A"/>
    <w:rsid w:val="2A8A92AB"/>
    <w:rsid w:val="2DCC24A5"/>
    <w:rsid w:val="2FC3BC17"/>
    <w:rsid w:val="2FCEEB1B"/>
    <w:rsid w:val="30310998"/>
    <w:rsid w:val="31F7F708"/>
    <w:rsid w:val="32D4CEE6"/>
    <w:rsid w:val="35834D7F"/>
    <w:rsid w:val="374D88E8"/>
    <w:rsid w:val="38BC99EF"/>
    <w:rsid w:val="3A49B293"/>
    <w:rsid w:val="4106E00E"/>
    <w:rsid w:val="4295D494"/>
    <w:rsid w:val="43CF4B9B"/>
    <w:rsid w:val="4447C574"/>
    <w:rsid w:val="4520EB15"/>
    <w:rsid w:val="47542A5C"/>
    <w:rsid w:val="4936EF6A"/>
    <w:rsid w:val="49877F04"/>
    <w:rsid w:val="4AD0E2B3"/>
    <w:rsid w:val="4B89A2D6"/>
    <w:rsid w:val="4CB08088"/>
    <w:rsid w:val="4EA8B795"/>
    <w:rsid w:val="51412D54"/>
    <w:rsid w:val="54D16753"/>
    <w:rsid w:val="55263382"/>
    <w:rsid w:val="565243D5"/>
    <w:rsid w:val="581ABF09"/>
    <w:rsid w:val="5A715453"/>
    <w:rsid w:val="5ABF4F1A"/>
    <w:rsid w:val="5D71067D"/>
    <w:rsid w:val="5E4F81DD"/>
    <w:rsid w:val="5ED76621"/>
    <w:rsid w:val="5EE6CBC5"/>
    <w:rsid w:val="60D2109E"/>
    <w:rsid w:val="62130B9C"/>
    <w:rsid w:val="63FA52FC"/>
    <w:rsid w:val="686DBF96"/>
    <w:rsid w:val="69962174"/>
    <w:rsid w:val="6ADD9D71"/>
    <w:rsid w:val="6D52DCD3"/>
    <w:rsid w:val="6F0252E2"/>
    <w:rsid w:val="6F8AC552"/>
    <w:rsid w:val="6F9D0A7B"/>
    <w:rsid w:val="70C2815B"/>
    <w:rsid w:val="7124B9B3"/>
    <w:rsid w:val="71BE5845"/>
    <w:rsid w:val="71C1A2EA"/>
    <w:rsid w:val="7247293D"/>
    <w:rsid w:val="730631A7"/>
    <w:rsid w:val="73B5BD6F"/>
    <w:rsid w:val="78F3F34A"/>
    <w:rsid w:val="792FCE40"/>
    <w:rsid w:val="7A506551"/>
    <w:rsid w:val="7CE527A8"/>
    <w:rsid w:val="7D4C73F5"/>
    <w:rsid w:val="7D74F78F"/>
    <w:rsid w:val="7EA4D1F8"/>
    <w:rsid w:val="7F901D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007954"/>
  <w15:chartTrackingRefBased/>
  <w15:docId w15:val="{1C8225EB-6D1E-4FE3-8AE1-A13BFB77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2" w:lineRule="auto"/>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locked="1" w:uiPriority="42"/>
    <w:lsdException w:name="Plain Table 3"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uiPriority="46"/>
    <w:lsdException w:name="List Table 2" w:locked="1" w:uiPriority="47"/>
    <w:lsdException w:name="List Table 3"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B30E75"/>
    <w:pPr>
      <w:spacing w:after="240" w:line="240" w:lineRule="atLeast"/>
    </w:pPr>
    <w:rPr>
      <w:rFonts w:ascii="Arial" w:hAnsi="Arial"/>
      <w:sz w:val="24"/>
      <w:lang w:val="en-GB"/>
    </w:rPr>
  </w:style>
  <w:style w:type="paragraph" w:styleId="Heading1">
    <w:name w:val="heading 1"/>
    <w:basedOn w:val="Title"/>
    <w:next w:val="Normal"/>
    <w:link w:val="Heading1Char"/>
    <w:uiPriority w:val="2"/>
    <w:qFormat/>
    <w:rsid w:val="000426B0"/>
    <w:pPr>
      <w:spacing w:after="300"/>
      <w:outlineLvl w:val="0"/>
    </w:pPr>
    <w:rPr>
      <w:rFonts w:asciiTheme="majorHAnsi" w:hAnsiTheme="majorHAnsi"/>
      <w:b/>
      <w:color w:val="1C1F63" w:themeColor="accent3"/>
      <w:spacing w:val="0"/>
      <w:sz w:val="48"/>
      <w:szCs w:val="52"/>
    </w:rPr>
  </w:style>
  <w:style w:type="paragraph" w:styleId="Heading2">
    <w:name w:val="heading 2"/>
    <w:basedOn w:val="Normal"/>
    <w:next w:val="Normal"/>
    <w:link w:val="Heading2Char"/>
    <w:uiPriority w:val="2"/>
    <w:qFormat/>
    <w:rsid w:val="006616E9"/>
    <w:pPr>
      <w:spacing w:after="120" w:line="320" w:lineRule="atLeast"/>
      <w:outlineLvl w:val="1"/>
    </w:pPr>
    <w:rPr>
      <w:rFonts w:asciiTheme="majorHAnsi" w:eastAsia="Times New Roman" w:hAnsiTheme="majorHAnsi" w:cstheme="majorHAnsi"/>
      <w:b/>
      <w:bCs/>
      <w:color w:val="1C1F63" w:themeColor="text1"/>
      <w:sz w:val="36"/>
      <w:szCs w:val="36"/>
    </w:rPr>
  </w:style>
  <w:style w:type="paragraph" w:styleId="Heading3">
    <w:name w:val="heading 3"/>
    <w:aliases w:val="Headings (numbered)"/>
    <w:basedOn w:val="Normal"/>
    <w:next w:val="Normal"/>
    <w:link w:val="Heading3Char"/>
    <w:uiPriority w:val="2"/>
    <w:qFormat/>
    <w:rsid w:val="000426B0"/>
    <w:pPr>
      <w:numPr>
        <w:numId w:val="2"/>
      </w:numPr>
      <w:spacing w:before="280" w:after="0" w:line="276" w:lineRule="auto"/>
      <w:outlineLvl w:val="2"/>
    </w:pPr>
    <w:rPr>
      <w:rFonts w:asciiTheme="majorHAnsi" w:eastAsia="Times New Roman" w:hAnsiTheme="majorHAnsi"/>
      <w:b/>
      <w:color w:val="1C1F63" w:themeColor="accent3"/>
      <w:sz w:val="28"/>
    </w:rPr>
  </w:style>
  <w:style w:type="paragraph" w:styleId="Heading4">
    <w:name w:val="heading 4"/>
    <w:basedOn w:val="Normal"/>
    <w:next w:val="Normal"/>
    <w:link w:val="Heading4Char"/>
    <w:uiPriority w:val="9"/>
    <w:semiHidden/>
    <w:qFormat/>
    <w:rsid w:val="00674F5D"/>
    <w:pPr>
      <w:keepNext/>
      <w:keepLines/>
      <w:spacing w:before="40" w:after="0"/>
      <w:outlineLvl w:val="3"/>
    </w:pPr>
    <w:rPr>
      <w:rFonts w:asciiTheme="majorHAnsi" w:eastAsiaTheme="majorEastAsia" w:hAnsiTheme="majorHAnsi" w:cstheme="majorBidi"/>
      <w:i/>
      <w:iCs/>
      <w:color w:val="1517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C4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3AE"/>
    <w:rPr>
      <w:rFonts w:ascii="Arial" w:hAnsi="Arial"/>
      <w:color w:val="1C1F63" w:themeColor="text1"/>
      <w:sz w:val="24"/>
    </w:rPr>
  </w:style>
  <w:style w:type="paragraph" w:styleId="Footer">
    <w:name w:val="footer"/>
    <w:basedOn w:val="Normal"/>
    <w:link w:val="FooterChar"/>
    <w:uiPriority w:val="99"/>
    <w:semiHidden/>
    <w:rsid w:val="006E79E7"/>
    <w:pPr>
      <w:tabs>
        <w:tab w:val="center" w:pos="4680"/>
        <w:tab w:val="right" w:pos="9360"/>
      </w:tabs>
      <w:spacing w:after="0" w:line="240" w:lineRule="auto"/>
    </w:pPr>
    <w:rPr>
      <w:sz w:val="20"/>
    </w:rPr>
  </w:style>
  <w:style w:type="character" w:customStyle="1" w:styleId="FooterChar">
    <w:name w:val="Footer Char"/>
    <w:basedOn w:val="DefaultParagraphFont"/>
    <w:link w:val="Footer"/>
    <w:uiPriority w:val="99"/>
    <w:semiHidden/>
    <w:rsid w:val="00A34273"/>
    <w:rPr>
      <w:rFonts w:ascii="Arial" w:hAnsi="Arial"/>
      <w:sz w:val="20"/>
    </w:rPr>
  </w:style>
  <w:style w:type="character" w:styleId="CommentReference">
    <w:name w:val="annotation reference"/>
    <w:basedOn w:val="DefaultParagraphFont"/>
    <w:uiPriority w:val="99"/>
    <w:semiHidden/>
    <w:rsid w:val="00782F52"/>
    <w:rPr>
      <w:sz w:val="16"/>
      <w:szCs w:val="16"/>
    </w:rPr>
  </w:style>
  <w:style w:type="paragraph" w:styleId="CommentText">
    <w:name w:val="annotation text"/>
    <w:basedOn w:val="Normal"/>
    <w:link w:val="CommentTextChar"/>
    <w:uiPriority w:val="99"/>
    <w:semiHidden/>
    <w:rsid w:val="00782F52"/>
    <w:pPr>
      <w:spacing w:line="240" w:lineRule="auto"/>
    </w:pPr>
    <w:rPr>
      <w:sz w:val="20"/>
      <w:szCs w:val="20"/>
    </w:rPr>
  </w:style>
  <w:style w:type="character" w:customStyle="1" w:styleId="CommentTextChar">
    <w:name w:val="Comment Text Char"/>
    <w:basedOn w:val="DefaultParagraphFont"/>
    <w:link w:val="CommentText"/>
    <w:uiPriority w:val="99"/>
    <w:semiHidden/>
    <w:rsid w:val="008F53AE"/>
    <w:rPr>
      <w:rFonts w:ascii="Arial" w:hAnsi="Arial"/>
      <w:color w:val="1C1F63" w:themeColor="text1"/>
      <w:sz w:val="20"/>
      <w:szCs w:val="20"/>
    </w:rPr>
  </w:style>
  <w:style w:type="paragraph" w:styleId="CommentSubject">
    <w:name w:val="annotation subject"/>
    <w:basedOn w:val="CommentText"/>
    <w:next w:val="CommentText"/>
    <w:link w:val="CommentSubjectChar"/>
    <w:uiPriority w:val="99"/>
    <w:semiHidden/>
    <w:rsid w:val="00782F52"/>
    <w:rPr>
      <w:b/>
      <w:bCs/>
    </w:rPr>
  </w:style>
  <w:style w:type="character" w:customStyle="1" w:styleId="CommentSubjectChar">
    <w:name w:val="Comment Subject Char"/>
    <w:basedOn w:val="CommentTextChar"/>
    <w:link w:val="CommentSubject"/>
    <w:uiPriority w:val="99"/>
    <w:semiHidden/>
    <w:rsid w:val="008F53AE"/>
    <w:rPr>
      <w:rFonts w:ascii="Arial" w:hAnsi="Arial"/>
      <w:b/>
      <w:bCs/>
      <w:color w:val="1C1F63" w:themeColor="text1"/>
      <w:sz w:val="20"/>
      <w:szCs w:val="20"/>
    </w:rPr>
  </w:style>
  <w:style w:type="character" w:styleId="Emphasis">
    <w:name w:val="Emphasis"/>
    <w:basedOn w:val="DefaultParagraphFont"/>
    <w:uiPriority w:val="3"/>
    <w:qFormat/>
    <w:rsid w:val="0000527F"/>
    <w:rPr>
      <w:rFonts w:ascii="Arial" w:hAnsi="Arial"/>
      <w:b/>
      <w:i w:val="0"/>
      <w:iCs/>
      <w:sz w:val="24"/>
    </w:rPr>
  </w:style>
  <w:style w:type="paragraph" w:styleId="Title">
    <w:name w:val="Title"/>
    <w:basedOn w:val="Normal"/>
    <w:next w:val="Normal"/>
    <w:link w:val="TitleChar"/>
    <w:qFormat/>
    <w:rsid w:val="00F06381"/>
    <w:pPr>
      <w:spacing w:after="0" w:line="240" w:lineRule="auto"/>
      <w:contextualSpacing/>
    </w:pPr>
    <w:rPr>
      <w:rFonts w:ascii="Arial Black" w:eastAsiaTheme="majorEastAsia" w:hAnsi="Arial Black" w:cstheme="majorBidi"/>
      <w:color w:val="1C1F63"/>
      <w:spacing w:val="-10"/>
      <w:kern w:val="28"/>
      <w:sz w:val="56"/>
      <w:szCs w:val="56"/>
    </w:rPr>
  </w:style>
  <w:style w:type="character" w:customStyle="1" w:styleId="TitleChar">
    <w:name w:val="Title Char"/>
    <w:basedOn w:val="DefaultParagraphFont"/>
    <w:link w:val="Title"/>
    <w:rsid w:val="000426B0"/>
    <w:rPr>
      <w:rFonts w:ascii="Arial Black" w:eastAsiaTheme="majorEastAsia" w:hAnsi="Arial Black" w:cstheme="majorBidi"/>
      <w:color w:val="1C1F63"/>
      <w:spacing w:val="-10"/>
      <w:kern w:val="28"/>
      <w:sz w:val="56"/>
      <w:szCs w:val="56"/>
      <w:lang w:val="en-GB"/>
    </w:rPr>
  </w:style>
  <w:style w:type="paragraph" w:styleId="Subtitle">
    <w:name w:val="Subtitle"/>
    <w:basedOn w:val="Normal"/>
    <w:next w:val="Normal"/>
    <w:link w:val="SubtitleChar"/>
    <w:uiPriority w:val="1"/>
    <w:qFormat/>
    <w:rsid w:val="00233A81"/>
    <w:pPr>
      <w:numPr>
        <w:ilvl w:val="1"/>
      </w:numPr>
    </w:pPr>
    <w:rPr>
      <w:rFonts w:ascii="Arial Black" w:eastAsiaTheme="minorEastAsia" w:hAnsi="Arial Black"/>
      <w:color w:val="1C1F63"/>
    </w:rPr>
  </w:style>
  <w:style w:type="character" w:customStyle="1" w:styleId="SubtitleChar">
    <w:name w:val="Subtitle Char"/>
    <w:basedOn w:val="DefaultParagraphFont"/>
    <w:link w:val="Subtitle"/>
    <w:uiPriority w:val="1"/>
    <w:rsid w:val="00233A81"/>
    <w:rPr>
      <w:rFonts w:ascii="Arial Black" w:eastAsiaTheme="minorEastAsia" w:hAnsi="Arial Black"/>
      <w:color w:val="1C1F63"/>
      <w:sz w:val="24"/>
      <w:lang w:val="en-GB"/>
    </w:rPr>
  </w:style>
  <w:style w:type="paragraph" w:styleId="ListParagraph">
    <w:name w:val="List Paragraph"/>
    <w:aliases w:val="Bulleted list,Dot pt,Colorful List - Accent 11,Bullet 1,No Spacing1,List Paragraph Char Char Char,Indicator Text,List Paragraph1,Numbered Para 1,Bullet Points,MAIN CONTENT,List Paragraph12,F5 List Paragraph,List Paragraph2,Normal numbered"/>
    <w:basedOn w:val="Normal"/>
    <w:link w:val="ListParagraphChar"/>
    <w:uiPriority w:val="34"/>
    <w:qFormat/>
    <w:rsid w:val="00413606"/>
    <w:pPr>
      <w:ind w:left="720"/>
      <w:contextualSpacing/>
    </w:pPr>
  </w:style>
  <w:style w:type="paragraph" w:customStyle="1" w:styleId="Bullets">
    <w:name w:val="Bullets"/>
    <w:basedOn w:val="ListParagraph"/>
    <w:uiPriority w:val="3"/>
    <w:qFormat/>
    <w:rsid w:val="00F371D2"/>
    <w:pPr>
      <w:numPr>
        <w:numId w:val="1"/>
      </w:numPr>
      <w:ind w:left="1077" w:hanging="357"/>
    </w:pPr>
  </w:style>
  <w:style w:type="table" w:styleId="TableGrid">
    <w:name w:val="Table Grid"/>
    <w:basedOn w:val="TableNormal"/>
    <w:uiPriority w:val="59"/>
    <w:rsid w:val="00AE79FA"/>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DD50E9"/>
    <w:pPr>
      <w:spacing w:after="0" w:line="240" w:lineRule="auto"/>
    </w:pPr>
    <w:rPr>
      <w:sz w:val="24"/>
    </w:rPr>
    <w:tblPr>
      <w:tblStyleRowBandSize w:val="1"/>
      <w:tblStyleColBandSize w:val="1"/>
      <w:tblBorders>
        <w:top w:val="single" w:sz="4" w:space="0" w:color="4B50CC" w:themeColor="text1" w:themeTint="99"/>
        <w:left w:val="single" w:sz="4" w:space="0" w:color="4B50CC" w:themeColor="text1" w:themeTint="99"/>
        <w:bottom w:val="single" w:sz="4" w:space="0" w:color="4B50CC" w:themeColor="text1" w:themeTint="99"/>
        <w:right w:val="single" w:sz="4" w:space="0" w:color="4B50CC" w:themeColor="text1" w:themeTint="99"/>
        <w:insideH w:val="single" w:sz="4" w:space="0" w:color="4B50CC" w:themeColor="text1" w:themeTint="99"/>
        <w:insideV w:val="single" w:sz="4" w:space="0" w:color="4B50CC" w:themeColor="text1" w:themeTint="99"/>
      </w:tblBorders>
    </w:tblPr>
    <w:tcPr>
      <w:shd w:val="clear" w:color="auto" w:fill="auto"/>
    </w:tcPr>
    <w:tblStylePr w:type="firstRow">
      <w:rPr>
        <w:b/>
        <w:bCs/>
        <w:color w:val="FFFFFF" w:themeColor="background1"/>
      </w:rPr>
      <w:tblPr/>
      <w:tcPr>
        <w:tcBorders>
          <w:top w:val="single" w:sz="4" w:space="0" w:color="1C1F63" w:themeColor="text1"/>
          <w:left w:val="single" w:sz="4" w:space="0" w:color="1C1F63" w:themeColor="text1"/>
          <w:bottom w:val="single" w:sz="4" w:space="0" w:color="1C1F63" w:themeColor="text1"/>
          <w:right w:val="single" w:sz="4" w:space="0" w:color="1C1F63" w:themeColor="text1"/>
          <w:insideH w:val="nil"/>
          <w:insideV w:val="nil"/>
        </w:tcBorders>
        <w:shd w:val="clear" w:color="auto" w:fill="1C1F63" w:themeFill="text1"/>
      </w:tcPr>
    </w:tblStylePr>
    <w:tblStylePr w:type="lastRow">
      <w:rPr>
        <w:b/>
        <w:bCs/>
      </w:rPr>
      <w:tblPr/>
      <w:tcPr>
        <w:tcBorders>
          <w:top w:val="double" w:sz="4" w:space="0" w:color="1C1F63" w:themeColor="text1"/>
        </w:tcBorders>
      </w:tcPr>
    </w:tblStylePr>
    <w:tblStylePr w:type="firstCol">
      <w:rPr>
        <w:b/>
        <w:bCs/>
      </w:rPr>
    </w:tblStylePr>
    <w:tblStylePr w:type="lastCol">
      <w:rPr>
        <w:b/>
        <w:bCs/>
      </w:rPr>
    </w:tblStylePr>
    <w:tblStylePr w:type="band1Vert">
      <w:tblPr/>
      <w:tcPr>
        <w:shd w:val="clear" w:color="auto" w:fill="C3C4EE" w:themeFill="text1" w:themeFillTint="33"/>
      </w:tcPr>
    </w:tblStylePr>
    <w:tblStylePr w:type="band1Horz">
      <w:tblPr/>
      <w:tcPr>
        <w:shd w:val="clear" w:color="auto" w:fill="C3C4EE" w:themeFill="text1" w:themeFillTint="33"/>
      </w:tcPr>
    </w:tblStylePr>
    <w:tblStylePr w:type="band2Horz">
      <w:tblPr/>
      <w:tcPr>
        <w:shd w:val="clear" w:color="auto" w:fill="FFFFFF" w:themeFill="background1"/>
      </w:tcPr>
    </w:tblStylePr>
  </w:style>
  <w:style w:type="table" w:styleId="GridTable4-Accent1">
    <w:name w:val="Grid Table 4 Accent 1"/>
    <w:basedOn w:val="TableNormal"/>
    <w:uiPriority w:val="49"/>
    <w:locked/>
    <w:rsid w:val="00816988"/>
    <w:pPr>
      <w:spacing w:after="0" w:line="240" w:lineRule="auto"/>
    </w:pPr>
    <w:tblPr>
      <w:tblStyleRowBandSize w:val="1"/>
      <w:tblStyleColBandSize w:val="1"/>
      <w:tblBorders>
        <w:top w:val="single" w:sz="4" w:space="0" w:color="4B50CC" w:themeColor="accent1" w:themeTint="99"/>
        <w:left w:val="single" w:sz="4" w:space="0" w:color="4B50CC" w:themeColor="accent1" w:themeTint="99"/>
        <w:bottom w:val="single" w:sz="4" w:space="0" w:color="4B50CC" w:themeColor="accent1" w:themeTint="99"/>
        <w:right w:val="single" w:sz="4" w:space="0" w:color="4B50CC" w:themeColor="accent1" w:themeTint="99"/>
        <w:insideH w:val="single" w:sz="4" w:space="0" w:color="4B50CC" w:themeColor="accent1" w:themeTint="99"/>
        <w:insideV w:val="single" w:sz="4" w:space="0" w:color="4B50CC" w:themeColor="accent1" w:themeTint="99"/>
      </w:tblBorders>
    </w:tblPr>
    <w:tblStylePr w:type="firstRow">
      <w:rPr>
        <w:b/>
        <w:bCs/>
        <w:color w:val="FFFFFF" w:themeColor="background1"/>
      </w:rPr>
      <w:tblPr/>
      <w:tcPr>
        <w:tcBorders>
          <w:top w:val="single" w:sz="4" w:space="0" w:color="1C1F63" w:themeColor="accent1"/>
          <w:left w:val="single" w:sz="4" w:space="0" w:color="1C1F63" w:themeColor="accent1"/>
          <w:bottom w:val="single" w:sz="4" w:space="0" w:color="1C1F63" w:themeColor="accent1"/>
          <w:right w:val="single" w:sz="4" w:space="0" w:color="1C1F63" w:themeColor="accent1"/>
          <w:insideH w:val="nil"/>
          <w:insideV w:val="nil"/>
        </w:tcBorders>
        <w:shd w:val="clear" w:color="auto" w:fill="1C1F63" w:themeFill="accent1"/>
      </w:tcPr>
    </w:tblStylePr>
    <w:tblStylePr w:type="lastRow">
      <w:rPr>
        <w:b/>
        <w:bCs/>
      </w:rPr>
      <w:tblPr/>
      <w:tcPr>
        <w:tcBorders>
          <w:top w:val="double" w:sz="4" w:space="0" w:color="1C1F63" w:themeColor="accent1"/>
        </w:tcBorders>
      </w:tcPr>
    </w:tblStylePr>
    <w:tblStylePr w:type="firstCol">
      <w:rPr>
        <w:b/>
        <w:bCs/>
      </w:rPr>
    </w:tblStylePr>
    <w:tblStylePr w:type="lastCol">
      <w:rPr>
        <w:b/>
        <w:bCs/>
      </w:rPr>
    </w:tblStylePr>
    <w:tblStylePr w:type="band1Vert">
      <w:tblPr/>
      <w:tcPr>
        <w:shd w:val="clear" w:color="auto" w:fill="C3C4EE" w:themeFill="accent1" w:themeFillTint="33"/>
      </w:tcPr>
    </w:tblStylePr>
    <w:tblStylePr w:type="band1Horz">
      <w:tblPr/>
      <w:tcPr>
        <w:shd w:val="clear" w:color="auto" w:fill="C3C4EE" w:themeFill="accent1" w:themeFillTint="33"/>
      </w:tcPr>
    </w:tblStylePr>
  </w:style>
  <w:style w:type="table" w:styleId="TableGridLight">
    <w:name w:val="Grid Table Light"/>
    <w:basedOn w:val="TableNormal"/>
    <w:uiPriority w:val="40"/>
    <w:locked/>
    <w:rsid w:val="00AE79FA"/>
    <w:pPr>
      <w:spacing w:after="0" w:line="240" w:lineRule="auto"/>
    </w:pPr>
    <w:rPr>
      <w:sz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E79FA"/>
    <w:pPr>
      <w:spacing w:after="0" w:line="240" w:lineRule="auto"/>
    </w:pPr>
    <w:rPr>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AE79FA"/>
    <w:pPr>
      <w:spacing w:after="0" w:line="240" w:lineRule="auto"/>
    </w:pPr>
    <w:rPr>
      <w:sz w:val="24"/>
    </w:rPr>
    <w:tblPr>
      <w:tblStyleRowBandSize w:val="1"/>
      <w:tblStyleColBandSize w:val="1"/>
      <w:tblBorders>
        <w:top w:val="single" w:sz="4" w:space="0" w:color="696DD4" w:themeColor="text1" w:themeTint="80"/>
        <w:bottom w:val="single" w:sz="4" w:space="0" w:color="696DD4" w:themeColor="text1" w:themeTint="80"/>
      </w:tblBorders>
    </w:tblPr>
    <w:tblStylePr w:type="firstRow">
      <w:rPr>
        <w:b/>
        <w:bCs/>
      </w:rPr>
      <w:tblPr/>
      <w:tcPr>
        <w:tcBorders>
          <w:bottom w:val="single" w:sz="4" w:space="0" w:color="696DD4" w:themeColor="text1" w:themeTint="80"/>
        </w:tcBorders>
      </w:tcPr>
    </w:tblStylePr>
    <w:tblStylePr w:type="lastRow">
      <w:rPr>
        <w:b/>
        <w:bCs/>
      </w:rPr>
      <w:tblPr/>
      <w:tcPr>
        <w:tcBorders>
          <w:top w:val="single" w:sz="4" w:space="0" w:color="696DD4" w:themeColor="text1" w:themeTint="80"/>
        </w:tcBorders>
      </w:tcPr>
    </w:tblStylePr>
    <w:tblStylePr w:type="firstCol">
      <w:rPr>
        <w:b/>
        <w:bCs/>
      </w:rPr>
    </w:tblStylePr>
    <w:tblStylePr w:type="lastCol">
      <w:rPr>
        <w:b/>
        <w:bCs/>
      </w:rPr>
    </w:tblStylePr>
    <w:tblStylePr w:type="band1Vert">
      <w:tblPr/>
      <w:tcPr>
        <w:tcBorders>
          <w:left w:val="single" w:sz="4" w:space="0" w:color="696DD4" w:themeColor="text1" w:themeTint="80"/>
          <w:right w:val="single" w:sz="4" w:space="0" w:color="696DD4" w:themeColor="text1" w:themeTint="80"/>
        </w:tcBorders>
      </w:tcPr>
    </w:tblStylePr>
    <w:tblStylePr w:type="band2Vert">
      <w:tblPr/>
      <w:tcPr>
        <w:tcBorders>
          <w:left w:val="single" w:sz="4" w:space="0" w:color="696DD4" w:themeColor="text1" w:themeTint="80"/>
          <w:right w:val="single" w:sz="4" w:space="0" w:color="696DD4" w:themeColor="text1" w:themeTint="80"/>
        </w:tcBorders>
      </w:tcPr>
    </w:tblStylePr>
    <w:tblStylePr w:type="band1Horz">
      <w:tblPr/>
      <w:tcPr>
        <w:tcBorders>
          <w:top w:val="single" w:sz="4" w:space="0" w:color="696DD4" w:themeColor="text1" w:themeTint="80"/>
          <w:bottom w:val="single" w:sz="4" w:space="0" w:color="696DD4" w:themeColor="text1" w:themeTint="80"/>
        </w:tcBorders>
      </w:tcPr>
    </w:tblStylePr>
  </w:style>
  <w:style w:type="table" w:styleId="PlainTable3">
    <w:name w:val="Plain Table 3"/>
    <w:basedOn w:val="TableNormal"/>
    <w:uiPriority w:val="43"/>
    <w:rsid w:val="00AE79FA"/>
    <w:pPr>
      <w:spacing w:after="0" w:line="240" w:lineRule="auto"/>
    </w:pPr>
    <w:rPr>
      <w:sz w:val="24"/>
    </w:rPr>
    <w:tblPr>
      <w:tblStyleRowBandSize w:val="1"/>
      <w:tblStyleColBandSize w:val="1"/>
    </w:tblPr>
    <w:tblStylePr w:type="firstRow">
      <w:rPr>
        <w:b/>
        <w:bCs/>
        <w:caps/>
      </w:rPr>
      <w:tblPr/>
      <w:tcPr>
        <w:tcBorders>
          <w:bottom w:val="single" w:sz="4" w:space="0" w:color="696DD4"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96DD4"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AE79FA"/>
    <w:pPr>
      <w:spacing w:after="0" w:line="240" w:lineRule="auto"/>
    </w:pPr>
    <w:rPr>
      <w:sz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AE79FA"/>
    <w:pPr>
      <w:spacing w:after="0" w:line="240" w:lineRule="auto"/>
    </w:pPr>
    <w:rPr>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96DD4"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96DD4"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96DD4"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96DD4"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AE79FA"/>
    <w:pPr>
      <w:spacing w:after="0" w:line="240" w:lineRule="auto"/>
    </w:pPr>
    <w:rPr>
      <w:sz w:val="24"/>
    </w:rPr>
    <w:tblPr>
      <w:tblStyleRowBandSize w:val="1"/>
      <w:tblStyleColBandSize w:val="1"/>
      <w:tblBorders>
        <w:top w:val="single" w:sz="4" w:space="0" w:color="878ADD" w:themeColor="text1" w:themeTint="66"/>
        <w:left w:val="single" w:sz="4" w:space="0" w:color="878ADD" w:themeColor="text1" w:themeTint="66"/>
        <w:bottom w:val="single" w:sz="4" w:space="0" w:color="878ADD" w:themeColor="text1" w:themeTint="66"/>
        <w:right w:val="single" w:sz="4" w:space="0" w:color="878ADD" w:themeColor="text1" w:themeTint="66"/>
        <w:insideH w:val="single" w:sz="4" w:space="0" w:color="878ADD" w:themeColor="text1" w:themeTint="66"/>
        <w:insideV w:val="single" w:sz="4" w:space="0" w:color="878ADD" w:themeColor="text1" w:themeTint="66"/>
      </w:tblBorders>
    </w:tblPr>
    <w:tblStylePr w:type="firstRow">
      <w:rPr>
        <w:b/>
        <w:bCs/>
      </w:rPr>
      <w:tblPr/>
      <w:tcPr>
        <w:tcBorders>
          <w:bottom w:val="single" w:sz="12" w:space="0" w:color="4B50CC" w:themeColor="text1" w:themeTint="99"/>
        </w:tcBorders>
      </w:tcPr>
    </w:tblStylePr>
    <w:tblStylePr w:type="lastRow">
      <w:rPr>
        <w:b/>
        <w:bCs/>
      </w:rPr>
      <w:tblPr/>
      <w:tcPr>
        <w:tcBorders>
          <w:top w:val="double" w:sz="2" w:space="0" w:color="4B50CC"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AE79FA"/>
    <w:pPr>
      <w:spacing w:after="0" w:line="240" w:lineRule="auto"/>
    </w:pPr>
    <w:rPr>
      <w:sz w:val="24"/>
    </w:rPr>
    <w:tblPr>
      <w:tblStyleRowBandSize w:val="1"/>
      <w:tblStyleColBandSize w:val="1"/>
      <w:tblBorders>
        <w:top w:val="single" w:sz="4" w:space="0" w:color="878ADD" w:themeColor="accent1" w:themeTint="66"/>
        <w:left w:val="single" w:sz="4" w:space="0" w:color="878ADD" w:themeColor="accent1" w:themeTint="66"/>
        <w:bottom w:val="single" w:sz="4" w:space="0" w:color="878ADD" w:themeColor="accent1" w:themeTint="66"/>
        <w:right w:val="single" w:sz="4" w:space="0" w:color="878ADD" w:themeColor="accent1" w:themeTint="66"/>
        <w:insideH w:val="single" w:sz="4" w:space="0" w:color="878ADD" w:themeColor="accent1" w:themeTint="66"/>
        <w:insideV w:val="single" w:sz="4" w:space="0" w:color="878ADD" w:themeColor="accent1" w:themeTint="66"/>
      </w:tblBorders>
    </w:tblPr>
    <w:tblStylePr w:type="firstRow">
      <w:rPr>
        <w:b/>
        <w:bCs/>
      </w:rPr>
      <w:tblPr/>
      <w:tcPr>
        <w:tcBorders>
          <w:bottom w:val="single" w:sz="12" w:space="0" w:color="4B50CC" w:themeColor="accent1" w:themeTint="99"/>
        </w:tcBorders>
      </w:tcPr>
    </w:tblStylePr>
    <w:tblStylePr w:type="lastRow">
      <w:rPr>
        <w:b/>
        <w:bCs/>
      </w:rPr>
      <w:tblPr/>
      <w:tcPr>
        <w:tcBorders>
          <w:top w:val="double" w:sz="2" w:space="0" w:color="4B50C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AE79FA"/>
    <w:pPr>
      <w:spacing w:after="0" w:line="240" w:lineRule="auto"/>
    </w:pPr>
    <w:rPr>
      <w:sz w:val="24"/>
    </w:rPr>
    <w:tblPr>
      <w:tblStyleRowBandSize w:val="1"/>
      <w:tblStyleColBandSize w:val="1"/>
      <w:tblBorders>
        <w:top w:val="single" w:sz="4" w:space="0" w:color="90BCFB" w:themeColor="accent2" w:themeTint="66"/>
        <w:left w:val="single" w:sz="4" w:space="0" w:color="90BCFB" w:themeColor="accent2" w:themeTint="66"/>
        <w:bottom w:val="single" w:sz="4" w:space="0" w:color="90BCFB" w:themeColor="accent2" w:themeTint="66"/>
        <w:right w:val="single" w:sz="4" w:space="0" w:color="90BCFB" w:themeColor="accent2" w:themeTint="66"/>
        <w:insideH w:val="single" w:sz="4" w:space="0" w:color="90BCFB" w:themeColor="accent2" w:themeTint="66"/>
        <w:insideV w:val="single" w:sz="4" w:space="0" w:color="90BCFB" w:themeColor="accent2" w:themeTint="66"/>
      </w:tblBorders>
    </w:tblPr>
    <w:tblStylePr w:type="firstRow">
      <w:rPr>
        <w:b/>
        <w:bCs/>
      </w:rPr>
      <w:tblPr/>
      <w:tcPr>
        <w:tcBorders>
          <w:bottom w:val="single" w:sz="12" w:space="0" w:color="599AF9" w:themeColor="accent2" w:themeTint="99"/>
        </w:tcBorders>
      </w:tcPr>
    </w:tblStylePr>
    <w:tblStylePr w:type="lastRow">
      <w:rPr>
        <w:b/>
        <w:bCs/>
      </w:rPr>
      <w:tblPr/>
      <w:tcPr>
        <w:tcBorders>
          <w:top w:val="double" w:sz="2" w:space="0" w:color="599AF9" w:themeColor="accent2" w:themeTint="99"/>
        </w:tcBorders>
      </w:tcPr>
    </w:tblStylePr>
    <w:tblStylePr w:type="firstCol">
      <w:rPr>
        <w:b/>
        <w:bCs/>
      </w:rPr>
    </w:tblStylePr>
    <w:tblStylePr w:type="lastCol">
      <w:rPr>
        <w:b/>
        <w:bCs/>
      </w:rPr>
    </w:tblStylePr>
  </w:style>
  <w:style w:type="table" w:styleId="ListTable3">
    <w:name w:val="List Table 3"/>
    <w:basedOn w:val="TableNormal"/>
    <w:uiPriority w:val="48"/>
    <w:rsid w:val="00A85B06"/>
    <w:pPr>
      <w:spacing w:after="0" w:line="240" w:lineRule="auto"/>
    </w:pPr>
    <w:tblPr>
      <w:tblStyleRowBandSize w:val="1"/>
      <w:tblStyleColBandSize w:val="1"/>
      <w:tblBorders>
        <w:top w:val="single" w:sz="4" w:space="0" w:color="1C1F63" w:themeColor="text1"/>
        <w:left w:val="single" w:sz="4" w:space="0" w:color="1C1F63" w:themeColor="text1"/>
        <w:bottom w:val="single" w:sz="4" w:space="0" w:color="1C1F63" w:themeColor="text1"/>
        <w:right w:val="single" w:sz="4" w:space="0" w:color="1C1F63" w:themeColor="text1"/>
      </w:tblBorders>
    </w:tblPr>
    <w:tblStylePr w:type="firstRow">
      <w:rPr>
        <w:b/>
        <w:bCs/>
        <w:color w:val="FFFFFF" w:themeColor="background1"/>
      </w:rPr>
      <w:tblPr/>
      <w:tcPr>
        <w:shd w:val="clear" w:color="auto" w:fill="1C1F63" w:themeFill="text1"/>
      </w:tcPr>
    </w:tblStylePr>
    <w:tblStylePr w:type="lastRow">
      <w:rPr>
        <w:b/>
        <w:bCs/>
      </w:rPr>
      <w:tblPr/>
      <w:tcPr>
        <w:tcBorders>
          <w:top w:val="double" w:sz="4" w:space="0" w:color="1C1F6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1F63" w:themeColor="text1"/>
          <w:right w:val="single" w:sz="4" w:space="0" w:color="1C1F63" w:themeColor="text1"/>
        </w:tcBorders>
      </w:tcPr>
    </w:tblStylePr>
    <w:tblStylePr w:type="band1Horz">
      <w:tblPr/>
      <w:tcPr>
        <w:tcBorders>
          <w:top w:val="single" w:sz="4" w:space="0" w:color="1C1F63" w:themeColor="text1"/>
          <w:bottom w:val="single" w:sz="4" w:space="0" w:color="1C1F6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1F63" w:themeColor="text1"/>
          <w:left w:val="nil"/>
        </w:tcBorders>
      </w:tcPr>
    </w:tblStylePr>
    <w:tblStylePr w:type="swCell">
      <w:tblPr/>
      <w:tcPr>
        <w:tcBorders>
          <w:top w:val="double" w:sz="4" w:space="0" w:color="1C1F63" w:themeColor="text1"/>
          <w:right w:val="nil"/>
        </w:tcBorders>
      </w:tcPr>
    </w:tblStylePr>
  </w:style>
  <w:style w:type="table" w:styleId="ListTable3-Accent1">
    <w:name w:val="List Table 3 Accent 1"/>
    <w:basedOn w:val="TableNormal"/>
    <w:uiPriority w:val="48"/>
    <w:locked/>
    <w:rsid w:val="00A85B06"/>
    <w:pPr>
      <w:spacing w:after="0" w:line="240" w:lineRule="auto"/>
    </w:pPr>
    <w:tblPr>
      <w:tblStyleRowBandSize w:val="1"/>
      <w:tblStyleColBandSize w:val="1"/>
      <w:tblBorders>
        <w:top w:val="single" w:sz="4" w:space="0" w:color="1C1F63" w:themeColor="accent1"/>
        <w:left w:val="single" w:sz="4" w:space="0" w:color="1C1F63" w:themeColor="accent1"/>
        <w:bottom w:val="single" w:sz="4" w:space="0" w:color="1C1F63" w:themeColor="accent1"/>
        <w:right w:val="single" w:sz="4" w:space="0" w:color="1C1F63" w:themeColor="accent1"/>
      </w:tblBorders>
    </w:tblPr>
    <w:tblStylePr w:type="firstRow">
      <w:rPr>
        <w:b/>
        <w:bCs/>
        <w:color w:val="FFFFFF" w:themeColor="background1"/>
      </w:rPr>
      <w:tblPr/>
      <w:tcPr>
        <w:shd w:val="clear" w:color="auto" w:fill="1C1F63" w:themeFill="accent1"/>
      </w:tcPr>
    </w:tblStylePr>
    <w:tblStylePr w:type="lastRow">
      <w:rPr>
        <w:b/>
        <w:bCs/>
      </w:rPr>
      <w:tblPr/>
      <w:tcPr>
        <w:tcBorders>
          <w:top w:val="double" w:sz="4" w:space="0" w:color="1C1F6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1F63" w:themeColor="accent1"/>
          <w:right w:val="single" w:sz="4" w:space="0" w:color="1C1F63" w:themeColor="accent1"/>
        </w:tcBorders>
      </w:tcPr>
    </w:tblStylePr>
    <w:tblStylePr w:type="band1Horz">
      <w:tblPr/>
      <w:tcPr>
        <w:tcBorders>
          <w:top w:val="single" w:sz="4" w:space="0" w:color="1C1F63" w:themeColor="accent1"/>
          <w:bottom w:val="single" w:sz="4" w:space="0" w:color="1C1F6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1F63" w:themeColor="accent1"/>
          <w:left w:val="nil"/>
        </w:tcBorders>
      </w:tcPr>
    </w:tblStylePr>
    <w:tblStylePr w:type="swCell">
      <w:tblPr/>
      <w:tcPr>
        <w:tcBorders>
          <w:top w:val="double" w:sz="4" w:space="0" w:color="1C1F63" w:themeColor="accent1"/>
          <w:right w:val="nil"/>
        </w:tcBorders>
      </w:tcPr>
    </w:tblStylePr>
  </w:style>
  <w:style w:type="table" w:styleId="ListTable3-Accent2">
    <w:name w:val="List Table 3 Accent 2"/>
    <w:basedOn w:val="TableNormal"/>
    <w:uiPriority w:val="48"/>
    <w:locked/>
    <w:rsid w:val="00A85B06"/>
    <w:pPr>
      <w:spacing w:after="0" w:line="240" w:lineRule="auto"/>
    </w:pPr>
    <w:tblPr>
      <w:tblStyleRowBandSize w:val="1"/>
      <w:tblStyleColBandSize w:val="1"/>
      <w:tblBorders>
        <w:top w:val="single" w:sz="4" w:space="0" w:color="075EDB" w:themeColor="accent2"/>
        <w:left w:val="single" w:sz="4" w:space="0" w:color="075EDB" w:themeColor="accent2"/>
        <w:bottom w:val="single" w:sz="4" w:space="0" w:color="075EDB" w:themeColor="accent2"/>
        <w:right w:val="single" w:sz="4" w:space="0" w:color="075EDB" w:themeColor="accent2"/>
      </w:tblBorders>
    </w:tblPr>
    <w:tblStylePr w:type="firstRow">
      <w:rPr>
        <w:b/>
        <w:bCs/>
        <w:color w:val="FFFFFF" w:themeColor="background1"/>
      </w:rPr>
      <w:tblPr/>
      <w:tcPr>
        <w:shd w:val="clear" w:color="auto" w:fill="075EDB" w:themeFill="accent2"/>
      </w:tcPr>
    </w:tblStylePr>
    <w:tblStylePr w:type="lastRow">
      <w:rPr>
        <w:b/>
        <w:bCs/>
      </w:rPr>
      <w:tblPr/>
      <w:tcPr>
        <w:tcBorders>
          <w:top w:val="double" w:sz="4" w:space="0" w:color="075ED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75EDB" w:themeColor="accent2"/>
          <w:right w:val="single" w:sz="4" w:space="0" w:color="075EDB" w:themeColor="accent2"/>
        </w:tcBorders>
      </w:tcPr>
    </w:tblStylePr>
    <w:tblStylePr w:type="band1Horz">
      <w:tblPr/>
      <w:tcPr>
        <w:tcBorders>
          <w:top w:val="single" w:sz="4" w:space="0" w:color="075EDB" w:themeColor="accent2"/>
          <w:bottom w:val="single" w:sz="4" w:space="0" w:color="075ED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75EDB" w:themeColor="accent2"/>
          <w:left w:val="nil"/>
        </w:tcBorders>
      </w:tcPr>
    </w:tblStylePr>
    <w:tblStylePr w:type="swCell">
      <w:tblPr/>
      <w:tcPr>
        <w:tcBorders>
          <w:top w:val="double" w:sz="4" w:space="0" w:color="075EDB" w:themeColor="accent2"/>
          <w:right w:val="nil"/>
        </w:tcBorders>
      </w:tcPr>
    </w:tblStylePr>
  </w:style>
  <w:style w:type="table" w:styleId="ListTable3-Accent3">
    <w:name w:val="List Table 3 Accent 3"/>
    <w:basedOn w:val="TableNormal"/>
    <w:uiPriority w:val="48"/>
    <w:locked/>
    <w:rsid w:val="00A85B06"/>
    <w:pPr>
      <w:spacing w:after="0" w:line="240" w:lineRule="auto"/>
    </w:pPr>
    <w:tblPr>
      <w:tblStyleRowBandSize w:val="1"/>
      <w:tblStyleColBandSize w:val="1"/>
      <w:tblBorders>
        <w:top w:val="single" w:sz="4" w:space="0" w:color="1C1F63" w:themeColor="accent3"/>
        <w:left w:val="single" w:sz="4" w:space="0" w:color="1C1F63" w:themeColor="accent3"/>
        <w:bottom w:val="single" w:sz="4" w:space="0" w:color="1C1F63" w:themeColor="accent3"/>
        <w:right w:val="single" w:sz="4" w:space="0" w:color="1C1F63" w:themeColor="accent3"/>
      </w:tblBorders>
    </w:tblPr>
    <w:tblStylePr w:type="firstRow">
      <w:rPr>
        <w:b/>
        <w:bCs/>
        <w:color w:val="FFFFFF" w:themeColor="background1"/>
      </w:rPr>
      <w:tblPr/>
      <w:tcPr>
        <w:shd w:val="clear" w:color="auto" w:fill="1C1F63" w:themeFill="accent3"/>
      </w:tcPr>
    </w:tblStylePr>
    <w:tblStylePr w:type="lastRow">
      <w:rPr>
        <w:b/>
        <w:bCs/>
      </w:rPr>
      <w:tblPr/>
      <w:tcPr>
        <w:tcBorders>
          <w:top w:val="double" w:sz="4" w:space="0" w:color="1C1F6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1F63" w:themeColor="accent3"/>
          <w:right w:val="single" w:sz="4" w:space="0" w:color="1C1F63" w:themeColor="accent3"/>
        </w:tcBorders>
      </w:tcPr>
    </w:tblStylePr>
    <w:tblStylePr w:type="band1Horz">
      <w:tblPr/>
      <w:tcPr>
        <w:tcBorders>
          <w:top w:val="single" w:sz="4" w:space="0" w:color="1C1F63" w:themeColor="accent3"/>
          <w:bottom w:val="single" w:sz="4" w:space="0" w:color="1C1F6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1F63" w:themeColor="accent3"/>
          <w:left w:val="nil"/>
        </w:tcBorders>
      </w:tcPr>
    </w:tblStylePr>
    <w:tblStylePr w:type="swCell">
      <w:tblPr/>
      <w:tcPr>
        <w:tcBorders>
          <w:top w:val="double" w:sz="4" w:space="0" w:color="1C1F63" w:themeColor="accent3"/>
          <w:right w:val="nil"/>
        </w:tcBorders>
      </w:tcPr>
    </w:tblStylePr>
  </w:style>
  <w:style w:type="table" w:styleId="ListTable3-Accent4">
    <w:name w:val="List Table 3 Accent 4"/>
    <w:basedOn w:val="TableNormal"/>
    <w:uiPriority w:val="48"/>
    <w:locked/>
    <w:rsid w:val="00A85B06"/>
    <w:pPr>
      <w:spacing w:after="0" w:line="240" w:lineRule="auto"/>
    </w:pPr>
    <w:tblPr>
      <w:tblStyleRowBandSize w:val="1"/>
      <w:tblStyleColBandSize w:val="1"/>
      <w:tblBorders>
        <w:top w:val="single" w:sz="4" w:space="0" w:color="075EDB" w:themeColor="accent4"/>
        <w:left w:val="single" w:sz="4" w:space="0" w:color="075EDB" w:themeColor="accent4"/>
        <w:bottom w:val="single" w:sz="4" w:space="0" w:color="075EDB" w:themeColor="accent4"/>
        <w:right w:val="single" w:sz="4" w:space="0" w:color="075EDB" w:themeColor="accent4"/>
      </w:tblBorders>
    </w:tblPr>
    <w:tblStylePr w:type="firstRow">
      <w:rPr>
        <w:b/>
        <w:bCs/>
        <w:color w:val="FFFFFF" w:themeColor="background1"/>
      </w:rPr>
      <w:tblPr/>
      <w:tcPr>
        <w:shd w:val="clear" w:color="auto" w:fill="075EDB" w:themeFill="accent4"/>
      </w:tcPr>
    </w:tblStylePr>
    <w:tblStylePr w:type="lastRow">
      <w:rPr>
        <w:b/>
        <w:bCs/>
      </w:rPr>
      <w:tblPr/>
      <w:tcPr>
        <w:tcBorders>
          <w:top w:val="double" w:sz="4" w:space="0" w:color="075E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75EDB" w:themeColor="accent4"/>
          <w:right w:val="single" w:sz="4" w:space="0" w:color="075EDB" w:themeColor="accent4"/>
        </w:tcBorders>
      </w:tcPr>
    </w:tblStylePr>
    <w:tblStylePr w:type="band1Horz">
      <w:tblPr/>
      <w:tcPr>
        <w:tcBorders>
          <w:top w:val="single" w:sz="4" w:space="0" w:color="075EDB" w:themeColor="accent4"/>
          <w:bottom w:val="single" w:sz="4" w:space="0" w:color="075E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75EDB" w:themeColor="accent4"/>
          <w:left w:val="nil"/>
        </w:tcBorders>
      </w:tcPr>
    </w:tblStylePr>
    <w:tblStylePr w:type="swCell">
      <w:tblPr/>
      <w:tcPr>
        <w:tcBorders>
          <w:top w:val="double" w:sz="4" w:space="0" w:color="075EDB" w:themeColor="accent4"/>
          <w:right w:val="nil"/>
        </w:tcBorders>
      </w:tcPr>
    </w:tblStylePr>
  </w:style>
  <w:style w:type="table" w:styleId="GridTable2">
    <w:name w:val="Grid Table 2"/>
    <w:basedOn w:val="TableNormal"/>
    <w:uiPriority w:val="47"/>
    <w:locked/>
    <w:rsid w:val="00A85B06"/>
    <w:pPr>
      <w:spacing w:after="0" w:line="240" w:lineRule="auto"/>
    </w:pPr>
    <w:tblPr>
      <w:tblStyleRowBandSize w:val="1"/>
      <w:tblStyleColBandSize w:val="1"/>
      <w:tblBorders>
        <w:top w:val="single" w:sz="2" w:space="0" w:color="4B50CC" w:themeColor="text1" w:themeTint="99"/>
        <w:bottom w:val="single" w:sz="2" w:space="0" w:color="4B50CC" w:themeColor="text1" w:themeTint="99"/>
        <w:insideH w:val="single" w:sz="2" w:space="0" w:color="4B50CC" w:themeColor="text1" w:themeTint="99"/>
        <w:insideV w:val="single" w:sz="2" w:space="0" w:color="4B50CC" w:themeColor="text1" w:themeTint="99"/>
      </w:tblBorders>
    </w:tblPr>
    <w:tblStylePr w:type="firstRow">
      <w:rPr>
        <w:b/>
        <w:bCs/>
      </w:rPr>
      <w:tblPr/>
      <w:tcPr>
        <w:tcBorders>
          <w:top w:val="nil"/>
          <w:bottom w:val="single" w:sz="12" w:space="0" w:color="4B50CC" w:themeColor="text1" w:themeTint="99"/>
          <w:insideH w:val="nil"/>
          <w:insideV w:val="nil"/>
        </w:tcBorders>
        <w:shd w:val="clear" w:color="auto" w:fill="FFFFFF" w:themeFill="background1"/>
      </w:tcPr>
    </w:tblStylePr>
    <w:tblStylePr w:type="lastRow">
      <w:rPr>
        <w:b/>
        <w:bCs/>
      </w:rPr>
      <w:tblPr/>
      <w:tcPr>
        <w:tcBorders>
          <w:top w:val="double" w:sz="2" w:space="0" w:color="4B50C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C4EE" w:themeFill="text1" w:themeFillTint="33"/>
      </w:tcPr>
    </w:tblStylePr>
    <w:tblStylePr w:type="band1Horz">
      <w:tblPr/>
      <w:tcPr>
        <w:shd w:val="clear" w:color="auto" w:fill="C3C4EE" w:themeFill="text1" w:themeFillTint="33"/>
      </w:tcPr>
    </w:tblStylePr>
  </w:style>
  <w:style w:type="table" w:styleId="ListTable1Light">
    <w:name w:val="List Table 1 Light"/>
    <w:basedOn w:val="TableNormal"/>
    <w:uiPriority w:val="46"/>
    <w:rsid w:val="00A85B06"/>
    <w:pPr>
      <w:spacing w:after="0" w:line="240" w:lineRule="auto"/>
    </w:pPr>
    <w:tblPr>
      <w:tblStyleRowBandSize w:val="1"/>
      <w:tblStyleColBandSize w:val="1"/>
    </w:tblPr>
    <w:tblStylePr w:type="firstRow">
      <w:rPr>
        <w:b/>
        <w:bCs/>
      </w:rPr>
      <w:tblPr/>
      <w:tcPr>
        <w:tcBorders>
          <w:bottom w:val="single" w:sz="4" w:space="0" w:color="4B50CC" w:themeColor="text1" w:themeTint="99"/>
        </w:tcBorders>
      </w:tcPr>
    </w:tblStylePr>
    <w:tblStylePr w:type="lastRow">
      <w:rPr>
        <w:b/>
        <w:bCs/>
      </w:rPr>
      <w:tblPr/>
      <w:tcPr>
        <w:tcBorders>
          <w:top w:val="single" w:sz="4" w:space="0" w:color="4B50CC" w:themeColor="text1" w:themeTint="99"/>
        </w:tcBorders>
      </w:tcPr>
    </w:tblStylePr>
    <w:tblStylePr w:type="firstCol">
      <w:rPr>
        <w:b/>
        <w:bCs/>
      </w:rPr>
    </w:tblStylePr>
    <w:tblStylePr w:type="lastCol">
      <w:rPr>
        <w:b/>
        <w:bCs/>
      </w:rPr>
    </w:tblStylePr>
    <w:tblStylePr w:type="band1Vert">
      <w:tblPr/>
      <w:tcPr>
        <w:shd w:val="clear" w:color="auto" w:fill="C3C4EE" w:themeFill="text1" w:themeFillTint="33"/>
      </w:tcPr>
    </w:tblStylePr>
    <w:tblStylePr w:type="band1Horz">
      <w:tblPr/>
      <w:tcPr>
        <w:shd w:val="clear" w:color="auto" w:fill="C3C4EE" w:themeFill="text1" w:themeFillTint="33"/>
      </w:tcPr>
    </w:tblStylePr>
  </w:style>
  <w:style w:type="table" w:styleId="ListTable2">
    <w:name w:val="List Table 2"/>
    <w:basedOn w:val="TableNormal"/>
    <w:uiPriority w:val="47"/>
    <w:locked/>
    <w:rsid w:val="00A85B06"/>
    <w:pPr>
      <w:spacing w:after="0" w:line="240" w:lineRule="auto"/>
    </w:pPr>
    <w:tblPr>
      <w:tblStyleRowBandSize w:val="1"/>
      <w:tblStyleColBandSize w:val="1"/>
      <w:tblBorders>
        <w:top w:val="single" w:sz="4" w:space="0" w:color="4B50CC" w:themeColor="text1" w:themeTint="99"/>
        <w:bottom w:val="single" w:sz="4" w:space="0" w:color="4B50CC" w:themeColor="text1" w:themeTint="99"/>
        <w:insideH w:val="single" w:sz="4" w:space="0" w:color="4B50C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C4EE" w:themeFill="text1" w:themeFillTint="33"/>
      </w:tcPr>
    </w:tblStylePr>
    <w:tblStylePr w:type="band1Horz">
      <w:tblPr/>
      <w:tcPr>
        <w:shd w:val="clear" w:color="auto" w:fill="C3C4EE" w:themeFill="text1" w:themeFillTint="33"/>
      </w:tcPr>
    </w:tblStylePr>
  </w:style>
  <w:style w:type="character" w:styleId="Hyperlink">
    <w:name w:val="Hyperlink"/>
    <w:basedOn w:val="DefaultParagraphFont"/>
    <w:uiPriority w:val="99"/>
    <w:rsid w:val="00DE704D"/>
    <w:rPr>
      <w:color w:val="075EDB" w:themeColor="hyperlink"/>
      <w:u w:val="single"/>
    </w:rPr>
  </w:style>
  <w:style w:type="character" w:styleId="UnresolvedMention">
    <w:name w:val="Unresolved Mention"/>
    <w:basedOn w:val="DefaultParagraphFont"/>
    <w:uiPriority w:val="99"/>
    <w:semiHidden/>
    <w:rsid w:val="00DE704D"/>
    <w:rPr>
      <w:color w:val="605E5C"/>
      <w:shd w:val="clear" w:color="auto" w:fill="E1DFDD"/>
    </w:rPr>
  </w:style>
  <w:style w:type="character" w:styleId="FollowedHyperlink">
    <w:name w:val="FollowedHyperlink"/>
    <w:basedOn w:val="DefaultParagraphFont"/>
    <w:uiPriority w:val="99"/>
    <w:semiHidden/>
    <w:rsid w:val="00DE704D"/>
    <w:rPr>
      <w:color w:val="8605E4" w:themeColor="followedHyperlink"/>
      <w:u w:val="single"/>
    </w:rPr>
  </w:style>
  <w:style w:type="character" w:customStyle="1" w:styleId="Heading1Char">
    <w:name w:val="Heading 1 Char"/>
    <w:basedOn w:val="DefaultParagraphFont"/>
    <w:link w:val="Heading1"/>
    <w:uiPriority w:val="2"/>
    <w:rsid w:val="000426B0"/>
    <w:rPr>
      <w:rFonts w:asciiTheme="majorHAnsi" w:eastAsiaTheme="majorEastAsia" w:hAnsiTheme="majorHAnsi" w:cstheme="majorBidi"/>
      <w:b/>
      <w:color w:val="1C1F63" w:themeColor="accent3"/>
      <w:kern w:val="28"/>
      <w:sz w:val="48"/>
      <w:szCs w:val="52"/>
      <w:lang w:val="en-GB"/>
    </w:rPr>
  </w:style>
  <w:style w:type="character" w:customStyle="1" w:styleId="Heading2Char">
    <w:name w:val="Heading 2 Char"/>
    <w:basedOn w:val="DefaultParagraphFont"/>
    <w:link w:val="Heading2"/>
    <w:uiPriority w:val="2"/>
    <w:rsid w:val="006616E9"/>
    <w:rPr>
      <w:rFonts w:asciiTheme="majorHAnsi" w:eastAsia="Times New Roman" w:hAnsiTheme="majorHAnsi" w:cstheme="majorHAnsi"/>
      <w:b/>
      <w:bCs/>
      <w:color w:val="1C1F63" w:themeColor="text1"/>
      <w:sz w:val="36"/>
      <w:szCs w:val="36"/>
      <w:lang w:val="en-GB"/>
    </w:rPr>
  </w:style>
  <w:style w:type="character" w:customStyle="1" w:styleId="Heading3Char">
    <w:name w:val="Heading 3 Char"/>
    <w:aliases w:val="Headings (numbered) Char"/>
    <w:basedOn w:val="DefaultParagraphFont"/>
    <w:link w:val="Heading3"/>
    <w:uiPriority w:val="2"/>
    <w:rsid w:val="000426B0"/>
    <w:rPr>
      <w:rFonts w:asciiTheme="majorHAnsi" w:eastAsia="Times New Roman" w:hAnsiTheme="majorHAnsi"/>
      <w:b/>
      <w:color w:val="1C1F63" w:themeColor="accent3"/>
      <w:sz w:val="28"/>
      <w:lang w:val="en-GB"/>
    </w:rPr>
  </w:style>
  <w:style w:type="character" w:customStyle="1" w:styleId="ListParagraphChar">
    <w:name w:val="List Paragraph Char"/>
    <w:aliases w:val="Bulleted list Char,Dot pt Char,Colorful List - Accent 11 Char,Bullet 1 Char,No Spacing1 Char,List Paragraph Char Char Char Char,Indicator Text Char,List Paragraph1 Char,Numbered Para 1 Char,Bullet Points Char,MAIN CONTENT Char"/>
    <w:basedOn w:val="DefaultParagraphFont"/>
    <w:link w:val="ListParagraph"/>
    <w:uiPriority w:val="34"/>
    <w:qFormat/>
    <w:locked/>
    <w:rsid w:val="00606DF2"/>
    <w:rPr>
      <w:rFonts w:ascii="Arial" w:hAnsi="Arial"/>
      <w:sz w:val="24"/>
      <w:lang w:val="en-GB"/>
    </w:rPr>
  </w:style>
  <w:style w:type="character" w:customStyle="1" w:styleId="BodytextChar">
    <w:name w:val="Body text Char"/>
    <w:basedOn w:val="DefaultParagraphFont"/>
    <w:link w:val="BodyText1"/>
    <w:semiHidden/>
    <w:locked/>
    <w:rsid w:val="009B3BE6"/>
    <w:rPr>
      <w:rFonts w:ascii="Arial" w:eastAsia="Times New Roman" w:hAnsi="Arial" w:cs="Arial"/>
      <w:color w:val="1C1F63" w:themeColor="text1"/>
      <w:sz w:val="24"/>
      <w:szCs w:val="24"/>
      <w:lang w:eastAsia="en-GB"/>
    </w:rPr>
  </w:style>
  <w:style w:type="paragraph" w:customStyle="1" w:styleId="BodyText1">
    <w:name w:val="Body Text1"/>
    <w:basedOn w:val="Normal"/>
    <w:link w:val="BodytextChar"/>
    <w:semiHidden/>
    <w:qFormat/>
    <w:rsid w:val="00606DF2"/>
    <w:pPr>
      <w:spacing w:after="0" w:line="240" w:lineRule="auto"/>
    </w:pPr>
    <w:rPr>
      <w:rFonts w:eastAsia="Times New Roman" w:cs="Arial"/>
      <w:color w:val="1C1F63" w:themeColor="text1"/>
      <w:szCs w:val="24"/>
      <w:lang w:val="en-US" w:eastAsia="en-GB"/>
    </w:rPr>
  </w:style>
  <w:style w:type="character" w:customStyle="1" w:styleId="Head2Char">
    <w:name w:val="Head 2 Char"/>
    <w:basedOn w:val="DefaultParagraphFont"/>
    <w:link w:val="Head2"/>
    <w:semiHidden/>
    <w:locked/>
    <w:rsid w:val="009B3BE6"/>
    <w:rPr>
      <w:rFonts w:ascii="Arial" w:hAnsi="Arial" w:cs="Arial"/>
      <w:b/>
      <w:color w:val="1C1F63" w:themeColor="text1"/>
      <w:sz w:val="28"/>
      <w:szCs w:val="28"/>
    </w:rPr>
  </w:style>
  <w:style w:type="paragraph" w:customStyle="1" w:styleId="Head2">
    <w:name w:val="Head 2"/>
    <w:basedOn w:val="Normal"/>
    <w:link w:val="Head2Char"/>
    <w:semiHidden/>
    <w:qFormat/>
    <w:rsid w:val="00606DF2"/>
    <w:pPr>
      <w:spacing w:after="0" w:line="240" w:lineRule="auto"/>
      <w:outlineLvl w:val="1"/>
    </w:pPr>
    <w:rPr>
      <w:rFonts w:cs="Arial"/>
      <w:b/>
      <w:color w:val="1C1F63" w:themeColor="text1"/>
      <w:sz w:val="28"/>
      <w:szCs w:val="28"/>
      <w:lang w:val="en-US"/>
    </w:rPr>
  </w:style>
  <w:style w:type="character" w:customStyle="1" w:styleId="Heading4Char">
    <w:name w:val="Heading 4 Char"/>
    <w:basedOn w:val="DefaultParagraphFont"/>
    <w:link w:val="Heading4"/>
    <w:uiPriority w:val="9"/>
    <w:semiHidden/>
    <w:rsid w:val="00674F5D"/>
    <w:rPr>
      <w:rFonts w:asciiTheme="majorHAnsi" w:eastAsiaTheme="majorEastAsia" w:hAnsiTheme="majorHAnsi" w:cstheme="majorBidi"/>
      <w:i/>
      <w:iCs/>
      <w:color w:val="15174A" w:themeColor="accent1" w:themeShade="BF"/>
      <w:sz w:val="24"/>
      <w:lang w:val="en-GB"/>
    </w:rPr>
  </w:style>
  <w:style w:type="paragraph" w:customStyle="1" w:styleId="paragraph">
    <w:name w:val="paragraph"/>
    <w:basedOn w:val="Normal"/>
    <w:rsid w:val="002467F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2467FC"/>
  </w:style>
  <w:style w:type="character" w:customStyle="1" w:styleId="eop">
    <w:name w:val="eop"/>
    <w:basedOn w:val="DefaultParagraphFont"/>
    <w:rsid w:val="002467FC"/>
  </w:style>
  <w:style w:type="character" w:customStyle="1" w:styleId="tabchar">
    <w:name w:val="tabchar"/>
    <w:basedOn w:val="DefaultParagraphFont"/>
    <w:rsid w:val="002467FC"/>
  </w:style>
  <w:style w:type="character" w:customStyle="1" w:styleId="wacimagecontainer">
    <w:name w:val="wacimagecontainer"/>
    <w:basedOn w:val="DefaultParagraphFont"/>
    <w:rsid w:val="002467FC"/>
  </w:style>
  <w:style w:type="character" w:styleId="FootnoteReference">
    <w:name w:val="footnote reference"/>
    <w:basedOn w:val="DefaultParagraphFont"/>
    <w:uiPriority w:val="99"/>
    <w:semiHidden/>
    <w:unhideWhenUsed/>
    <w:rsid w:val="004743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06257">
      <w:bodyDiv w:val="1"/>
      <w:marLeft w:val="0"/>
      <w:marRight w:val="0"/>
      <w:marTop w:val="0"/>
      <w:marBottom w:val="0"/>
      <w:divBdr>
        <w:top w:val="none" w:sz="0" w:space="0" w:color="auto"/>
        <w:left w:val="none" w:sz="0" w:space="0" w:color="auto"/>
        <w:bottom w:val="none" w:sz="0" w:space="0" w:color="auto"/>
        <w:right w:val="none" w:sz="0" w:space="0" w:color="auto"/>
      </w:divBdr>
    </w:div>
    <w:div w:id="520945761">
      <w:bodyDiv w:val="1"/>
      <w:marLeft w:val="0"/>
      <w:marRight w:val="0"/>
      <w:marTop w:val="0"/>
      <w:marBottom w:val="0"/>
      <w:divBdr>
        <w:top w:val="none" w:sz="0" w:space="0" w:color="auto"/>
        <w:left w:val="none" w:sz="0" w:space="0" w:color="auto"/>
        <w:bottom w:val="none" w:sz="0" w:space="0" w:color="auto"/>
        <w:right w:val="none" w:sz="0" w:space="0" w:color="auto"/>
      </w:divBdr>
    </w:div>
    <w:div w:id="671566724">
      <w:bodyDiv w:val="1"/>
      <w:marLeft w:val="0"/>
      <w:marRight w:val="0"/>
      <w:marTop w:val="0"/>
      <w:marBottom w:val="0"/>
      <w:divBdr>
        <w:top w:val="none" w:sz="0" w:space="0" w:color="auto"/>
        <w:left w:val="none" w:sz="0" w:space="0" w:color="auto"/>
        <w:bottom w:val="none" w:sz="0" w:space="0" w:color="auto"/>
        <w:right w:val="none" w:sz="0" w:space="0" w:color="auto"/>
      </w:divBdr>
    </w:div>
    <w:div w:id="679963757">
      <w:bodyDiv w:val="1"/>
      <w:marLeft w:val="0"/>
      <w:marRight w:val="0"/>
      <w:marTop w:val="0"/>
      <w:marBottom w:val="0"/>
      <w:divBdr>
        <w:top w:val="none" w:sz="0" w:space="0" w:color="auto"/>
        <w:left w:val="none" w:sz="0" w:space="0" w:color="auto"/>
        <w:bottom w:val="none" w:sz="0" w:space="0" w:color="auto"/>
        <w:right w:val="none" w:sz="0" w:space="0" w:color="auto"/>
      </w:divBdr>
    </w:div>
    <w:div w:id="1091311735">
      <w:bodyDiv w:val="1"/>
      <w:marLeft w:val="0"/>
      <w:marRight w:val="0"/>
      <w:marTop w:val="0"/>
      <w:marBottom w:val="0"/>
      <w:divBdr>
        <w:top w:val="none" w:sz="0" w:space="0" w:color="auto"/>
        <w:left w:val="none" w:sz="0" w:space="0" w:color="auto"/>
        <w:bottom w:val="none" w:sz="0" w:space="0" w:color="auto"/>
        <w:right w:val="none" w:sz="0" w:space="0" w:color="auto"/>
      </w:divBdr>
    </w:div>
    <w:div w:id="1161236055">
      <w:bodyDiv w:val="1"/>
      <w:marLeft w:val="0"/>
      <w:marRight w:val="0"/>
      <w:marTop w:val="0"/>
      <w:marBottom w:val="0"/>
      <w:divBdr>
        <w:top w:val="none" w:sz="0" w:space="0" w:color="auto"/>
        <w:left w:val="none" w:sz="0" w:space="0" w:color="auto"/>
        <w:bottom w:val="none" w:sz="0" w:space="0" w:color="auto"/>
        <w:right w:val="none" w:sz="0" w:space="0" w:color="auto"/>
      </w:divBdr>
      <w:divsChild>
        <w:div w:id="177038542">
          <w:marLeft w:val="0"/>
          <w:marRight w:val="0"/>
          <w:marTop w:val="0"/>
          <w:marBottom w:val="0"/>
          <w:divBdr>
            <w:top w:val="none" w:sz="0" w:space="0" w:color="auto"/>
            <w:left w:val="none" w:sz="0" w:space="0" w:color="auto"/>
            <w:bottom w:val="none" w:sz="0" w:space="0" w:color="auto"/>
            <w:right w:val="none" w:sz="0" w:space="0" w:color="auto"/>
          </w:divBdr>
        </w:div>
        <w:div w:id="185557092">
          <w:marLeft w:val="0"/>
          <w:marRight w:val="0"/>
          <w:marTop w:val="0"/>
          <w:marBottom w:val="0"/>
          <w:divBdr>
            <w:top w:val="none" w:sz="0" w:space="0" w:color="auto"/>
            <w:left w:val="none" w:sz="0" w:space="0" w:color="auto"/>
            <w:bottom w:val="none" w:sz="0" w:space="0" w:color="auto"/>
            <w:right w:val="none" w:sz="0" w:space="0" w:color="auto"/>
          </w:divBdr>
        </w:div>
        <w:div w:id="396561041">
          <w:marLeft w:val="0"/>
          <w:marRight w:val="0"/>
          <w:marTop w:val="0"/>
          <w:marBottom w:val="0"/>
          <w:divBdr>
            <w:top w:val="none" w:sz="0" w:space="0" w:color="auto"/>
            <w:left w:val="none" w:sz="0" w:space="0" w:color="auto"/>
            <w:bottom w:val="none" w:sz="0" w:space="0" w:color="auto"/>
            <w:right w:val="none" w:sz="0" w:space="0" w:color="auto"/>
          </w:divBdr>
        </w:div>
        <w:div w:id="1012030093">
          <w:marLeft w:val="0"/>
          <w:marRight w:val="0"/>
          <w:marTop w:val="0"/>
          <w:marBottom w:val="0"/>
          <w:divBdr>
            <w:top w:val="none" w:sz="0" w:space="0" w:color="auto"/>
            <w:left w:val="none" w:sz="0" w:space="0" w:color="auto"/>
            <w:bottom w:val="none" w:sz="0" w:space="0" w:color="auto"/>
            <w:right w:val="none" w:sz="0" w:space="0" w:color="auto"/>
          </w:divBdr>
        </w:div>
        <w:div w:id="1433696527">
          <w:marLeft w:val="0"/>
          <w:marRight w:val="0"/>
          <w:marTop w:val="0"/>
          <w:marBottom w:val="0"/>
          <w:divBdr>
            <w:top w:val="none" w:sz="0" w:space="0" w:color="auto"/>
            <w:left w:val="none" w:sz="0" w:space="0" w:color="auto"/>
            <w:bottom w:val="none" w:sz="0" w:space="0" w:color="auto"/>
            <w:right w:val="none" w:sz="0" w:space="0" w:color="auto"/>
          </w:divBdr>
        </w:div>
        <w:div w:id="2015759589">
          <w:marLeft w:val="0"/>
          <w:marRight w:val="0"/>
          <w:marTop w:val="0"/>
          <w:marBottom w:val="0"/>
          <w:divBdr>
            <w:top w:val="none" w:sz="0" w:space="0" w:color="auto"/>
            <w:left w:val="none" w:sz="0" w:space="0" w:color="auto"/>
            <w:bottom w:val="none" w:sz="0" w:space="0" w:color="auto"/>
            <w:right w:val="none" w:sz="0" w:space="0" w:color="auto"/>
          </w:divBdr>
        </w:div>
      </w:divsChild>
    </w:div>
    <w:div w:id="1425613803">
      <w:bodyDiv w:val="1"/>
      <w:marLeft w:val="0"/>
      <w:marRight w:val="0"/>
      <w:marTop w:val="0"/>
      <w:marBottom w:val="0"/>
      <w:divBdr>
        <w:top w:val="none" w:sz="0" w:space="0" w:color="auto"/>
        <w:left w:val="none" w:sz="0" w:space="0" w:color="auto"/>
        <w:bottom w:val="none" w:sz="0" w:space="0" w:color="auto"/>
        <w:right w:val="none" w:sz="0" w:space="0" w:color="auto"/>
      </w:divBdr>
    </w:div>
    <w:div w:id="1758943310">
      <w:bodyDiv w:val="1"/>
      <w:marLeft w:val="0"/>
      <w:marRight w:val="0"/>
      <w:marTop w:val="0"/>
      <w:marBottom w:val="0"/>
      <w:divBdr>
        <w:top w:val="none" w:sz="0" w:space="0" w:color="auto"/>
        <w:left w:val="none" w:sz="0" w:space="0" w:color="auto"/>
        <w:bottom w:val="none" w:sz="0" w:space="0" w:color="auto"/>
        <w:right w:val="none" w:sz="0" w:space="0" w:color="auto"/>
      </w:divBdr>
    </w:div>
    <w:div w:id="2077389340">
      <w:bodyDiv w:val="1"/>
      <w:marLeft w:val="0"/>
      <w:marRight w:val="0"/>
      <w:marTop w:val="0"/>
      <w:marBottom w:val="0"/>
      <w:divBdr>
        <w:top w:val="none" w:sz="0" w:space="0" w:color="auto"/>
        <w:left w:val="none" w:sz="0" w:space="0" w:color="auto"/>
        <w:bottom w:val="none" w:sz="0" w:space="0" w:color="auto"/>
        <w:right w:val="none" w:sz="0" w:space="0" w:color="auto"/>
      </w:divBdr>
    </w:div>
    <w:div w:id="211736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Healthier Together with ICB document">
      <a:dk1>
        <a:srgbClr val="1C1F63"/>
      </a:dk1>
      <a:lt1>
        <a:sysClr val="window" lastClr="FFFFFF"/>
      </a:lt1>
      <a:dk2>
        <a:srgbClr val="44546A"/>
      </a:dk2>
      <a:lt2>
        <a:srgbClr val="E7E6E6"/>
      </a:lt2>
      <a:accent1>
        <a:srgbClr val="1C1F63"/>
      </a:accent1>
      <a:accent2>
        <a:srgbClr val="075EDB"/>
      </a:accent2>
      <a:accent3>
        <a:srgbClr val="1C1F63"/>
      </a:accent3>
      <a:accent4>
        <a:srgbClr val="075EDB"/>
      </a:accent4>
      <a:accent5>
        <a:srgbClr val="1C1F63"/>
      </a:accent5>
      <a:accent6>
        <a:srgbClr val="075EDB"/>
      </a:accent6>
      <a:hlink>
        <a:srgbClr val="075EDB"/>
      </a:hlink>
      <a:folHlink>
        <a:srgbClr val="8605E4"/>
      </a:folHlink>
    </a:clrScheme>
    <a:fontScheme name="Healthier Together">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A128024937C745A9FA961C4516D7CB" ma:contentTypeVersion="3" ma:contentTypeDescription="Create a new document." ma:contentTypeScope="" ma:versionID="1ac8d18d3a270df1ae2b2c91a4a1fc47">
  <xsd:schema xmlns:xsd="http://www.w3.org/2001/XMLSchema" xmlns:xs="http://www.w3.org/2001/XMLSchema" xmlns:p="http://schemas.microsoft.com/office/2006/metadata/properties" xmlns:ns2="6e5fd942-b9d2-45c8-82da-d9e66b158294" targetNamespace="http://schemas.microsoft.com/office/2006/metadata/properties" ma:root="true" ma:fieldsID="6b53e3df0ea7d4ad995a6401a9c2f8f7" ns2:_="">
    <xsd:import namespace="6e5fd942-b9d2-45c8-82da-d9e66b15829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fd942-b9d2-45c8-82da-d9e66b1582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7B5799-EDC9-45EC-908B-137B3B001684}">
  <ds:schemaRefs>
    <ds:schemaRef ds:uri="http://schemas.openxmlformats.org/officeDocument/2006/bibliography"/>
  </ds:schemaRefs>
</ds:datastoreItem>
</file>

<file path=customXml/itemProps2.xml><?xml version="1.0" encoding="utf-8"?>
<ds:datastoreItem xmlns:ds="http://schemas.openxmlformats.org/officeDocument/2006/customXml" ds:itemID="{3EB5CA97-A5E1-42C1-85D5-5D9F5920563C}">
  <ds:schemaRefs>
    <ds:schemaRef ds:uri="http://schemas.microsoft.com/sharepoint/v3/contenttype/forms"/>
  </ds:schemaRefs>
</ds:datastoreItem>
</file>

<file path=customXml/itemProps3.xml><?xml version="1.0" encoding="utf-8"?>
<ds:datastoreItem xmlns:ds="http://schemas.openxmlformats.org/officeDocument/2006/customXml" ds:itemID="{59B4711C-A410-452D-9C4D-F8F4CBD2A4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001DD6-1996-45CA-9540-D59E91A74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fd942-b9d2-45c8-82da-d9e66b158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9</Pages>
  <Words>2507</Words>
  <Characters>15450</Characters>
  <Application>Microsoft Office Word</Application>
  <DocSecurity>4</DocSecurity>
  <Lines>291</Lines>
  <Paragraphs>113</Paragraphs>
  <ScaleCrop>false</ScaleCrop>
  <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 January 2019</dc:title>
  <dc:subject/>
  <dc:creator>Suvidha Bane</dc:creator>
  <cp:keywords/>
  <dc:description/>
  <cp:lastModifiedBy>HOPKINS, Sophie (NHS GLOUCESTERSHIRE ICB - 11M)</cp:lastModifiedBy>
  <cp:revision>2</cp:revision>
  <cp:lastPrinted>2025-01-14T22:59:00Z</cp:lastPrinted>
  <dcterms:created xsi:type="dcterms:W3CDTF">2026-07-28T09:30:00Z</dcterms:created>
  <dcterms:modified xsi:type="dcterms:W3CDTF">2026-07-28T09:30:00Z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0x0101005EA128024937C745A9FA961C4516D7CB</vt:lpwstr>
  </property>
  <property fmtid="{D5CDD505-2E9C-101B-9397-08002B2CF9AE}" pid="3" name="MediaServiceImageTags">
    <vt:lpwstr/>
  </property>
  <property fmtid="{D5CDD505-2E9C-101B-9397-08002B2CF9AE}" pid="4" name="GrammarlyDocumentId">
    <vt:lpwstr>b4fbf4a65f7d1ddef991659c2269215d36314399cb6f44e612cc251d93e63e58</vt:lpwstr>
  </property>
</Properties>
</file>