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D0339" w14:textId="7B505007" w:rsidR="00606DF2" w:rsidRDefault="006F7B41" w:rsidP="00606DF2">
      <w:pPr>
        <w:pStyle w:val="Heading1"/>
        <w:spacing w:before="80"/>
      </w:pPr>
      <w:r>
        <w:t>Meeting of Joint Cluster Board</w:t>
      </w:r>
    </w:p>
    <w:p w14:paraId="659164B1" w14:textId="13A61142" w:rsidR="00606DF2" w:rsidRDefault="00606DF2" w:rsidP="00606DF2">
      <w:pPr>
        <w:rPr>
          <w:b/>
          <w:color w:val="1C1F63" w:themeColor="accent3"/>
        </w:rPr>
      </w:pPr>
      <w:r>
        <w:rPr>
          <w:b/>
          <w:color w:val="1C1F63" w:themeColor="accent3"/>
        </w:rPr>
        <w:t xml:space="preserve">Date: </w:t>
      </w:r>
      <w:r w:rsidR="006F7B41">
        <w:rPr>
          <w:b/>
          <w:color w:val="1C1F63" w:themeColor="accent3"/>
        </w:rPr>
        <w:t xml:space="preserve">Wednesday </w:t>
      </w:r>
      <w:r w:rsidR="00B14528">
        <w:rPr>
          <w:b/>
          <w:color w:val="1C1F63" w:themeColor="accent3"/>
        </w:rPr>
        <w:t>30</w:t>
      </w:r>
      <w:r w:rsidR="00B14528" w:rsidRPr="00B14528">
        <w:rPr>
          <w:b/>
          <w:color w:val="1C1F63" w:themeColor="accent3"/>
          <w:vertAlign w:val="superscript"/>
        </w:rPr>
        <w:t>th</w:t>
      </w:r>
      <w:r w:rsidR="00B14528">
        <w:rPr>
          <w:b/>
          <w:color w:val="1C1F63" w:themeColor="accent3"/>
        </w:rPr>
        <w:t xml:space="preserve"> September</w:t>
      </w:r>
    </w:p>
    <w:p w14:paraId="15D0C2FA" w14:textId="2D0BD9FA" w:rsidR="00606DF2" w:rsidRDefault="00606DF2" w:rsidP="00606DF2">
      <w:pPr>
        <w:rPr>
          <w:b/>
          <w:color w:val="1C1F63" w:themeColor="accent3"/>
        </w:rPr>
      </w:pPr>
      <w:r>
        <w:rPr>
          <w:b/>
          <w:color w:val="1C1F63" w:themeColor="accent3"/>
        </w:rPr>
        <w:t xml:space="preserve">Time: </w:t>
      </w:r>
      <w:r w:rsidR="006F7B41">
        <w:rPr>
          <w:b/>
          <w:color w:val="1C1F63" w:themeColor="accent3"/>
        </w:rPr>
        <w:t>11:15 – 13:00</w:t>
      </w:r>
    </w:p>
    <w:p w14:paraId="04D4C126" w14:textId="0CE56CA9" w:rsidR="00606DF2" w:rsidRDefault="00606DF2" w:rsidP="00606DF2">
      <w:pPr>
        <w:pBdr>
          <w:bottom w:val="single" w:sz="18" w:space="17" w:color="auto"/>
        </w:pBdr>
        <w:spacing w:after="380"/>
        <w:rPr>
          <w:sz w:val="28"/>
        </w:rPr>
      </w:pPr>
      <w:r>
        <w:rPr>
          <w:b/>
          <w:color w:val="1C1F63" w:themeColor="accent3"/>
        </w:rPr>
        <w:t xml:space="preserve">Location: </w:t>
      </w:r>
      <w:r w:rsidR="006F7B41" w:rsidRPr="006F7B41">
        <w:rPr>
          <w:b/>
          <w:bCs/>
          <w:color w:val="1C1F63"/>
        </w:rPr>
        <w:t>Ground Floor Committee Room, Shire Hall Gloucester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2965"/>
        <w:gridCol w:w="393"/>
        <w:gridCol w:w="6418"/>
      </w:tblGrid>
      <w:tr w:rsidR="00606DF2" w14:paraId="7F186F4C" w14:textId="77777777" w:rsidTr="17B2C8A7">
        <w:trPr>
          <w:trHeight w:val="438"/>
        </w:trPr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14:paraId="7102777D" w14:textId="77777777" w:rsidR="00606DF2" w:rsidRPr="0073371A" w:rsidRDefault="00606DF2">
            <w:pPr>
              <w:rPr>
                <w:rStyle w:val="Emphasis"/>
              </w:rPr>
            </w:pPr>
            <w:r w:rsidRPr="0073371A">
              <w:rPr>
                <w:rStyle w:val="Emphasis"/>
              </w:rPr>
              <w:t>Agenda Number:</w:t>
            </w:r>
          </w:p>
        </w:tc>
        <w:tc>
          <w:tcPr>
            <w:tcW w:w="6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EE874" w14:textId="0F8EECC9" w:rsidR="00196DED" w:rsidRPr="006F7B41" w:rsidRDefault="00810D30">
            <w:pPr>
              <w:spacing w:after="0"/>
              <w:rPr>
                <w:rFonts w:cs="Arial"/>
                <w:szCs w:val="24"/>
              </w:rPr>
            </w:pPr>
            <w:r w:rsidRPr="006F7B41">
              <w:rPr>
                <w:rFonts w:cs="Arial"/>
                <w:szCs w:val="24"/>
              </w:rPr>
              <w:t>9</w:t>
            </w:r>
          </w:p>
        </w:tc>
      </w:tr>
      <w:tr w:rsidR="00606DF2" w14:paraId="76642F47" w14:textId="77777777" w:rsidTr="17B2C8A7">
        <w:trPr>
          <w:trHeight w:val="418"/>
        </w:trPr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14:paraId="6772A98C" w14:textId="77777777" w:rsidR="00606DF2" w:rsidRPr="0073371A" w:rsidRDefault="00606DF2">
            <w:pPr>
              <w:rPr>
                <w:rStyle w:val="Emphasis"/>
              </w:rPr>
            </w:pPr>
            <w:r w:rsidRPr="0073371A">
              <w:rPr>
                <w:rStyle w:val="Emphasis"/>
              </w:rPr>
              <w:t>Title:</w:t>
            </w:r>
          </w:p>
        </w:tc>
        <w:tc>
          <w:tcPr>
            <w:tcW w:w="6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5247" w14:textId="77777777" w:rsidR="00196DED" w:rsidRPr="006F7B41" w:rsidRDefault="009C145A">
            <w:pPr>
              <w:spacing w:after="0"/>
              <w:rPr>
                <w:rFonts w:cs="Arial"/>
                <w:szCs w:val="24"/>
              </w:rPr>
            </w:pPr>
            <w:r w:rsidRPr="006F7B41">
              <w:rPr>
                <w:rFonts w:cs="Arial"/>
                <w:szCs w:val="24"/>
              </w:rPr>
              <w:t>Winter Planning 2026/27 and Board Assurance Statements</w:t>
            </w:r>
          </w:p>
        </w:tc>
      </w:tr>
      <w:tr w:rsidR="00606DF2" w14:paraId="755A69B0" w14:textId="77777777" w:rsidTr="17B2C8A7">
        <w:trPr>
          <w:trHeight w:val="282"/>
        </w:trPr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14:paraId="7C76AD8D" w14:textId="77777777" w:rsidR="00606DF2" w:rsidRPr="0073371A" w:rsidRDefault="00606DF2">
            <w:pPr>
              <w:rPr>
                <w:rStyle w:val="Emphasis"/>
              </w:rPr>
            </w:pPr>
            <w:r w:rsidRPr="0073371A">
              <w:rPr>
                <w:rStyle w:val="Emphasis"/>
              </w:rPr>
              <w:t xml:space="preserve">Confidential Papers </w:t>
            </w:r>
          </w:p>
          <w:p w14:paraId="6FECF6AD" w14:textId="087BAF74" w:rsidR="00606DF2" w:rsidRDefault="00606DF2">
            <w:pPr>
              <w:rPr>
                <w:rFonts w:cs="Arial"/>
                <w:b/>
                <w:color w:val="B90000"/>
              </w:rPr>
            </w:pPr>
          </w:p>
        </w:tc>
        <w:tc>
          <w:tcPr>
            <w:tcW w:w="6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tbl>
            <w:tblPr>
              <w:tblStyle w:val="TableGrid"/>
              <w:tblW w:w="0" w:type="auto"/>
              <w:tblInd w:w="108" w:type="dxa"/>
              <w:tblLook w:val="04A0" w:firstRow="1" w:lastRow="0" w:firstColumn="1" w:lastColumn="0" w:noHBand="0" w:noVBand="1"/>
            </w:tblPr>
            <w:tblGrid>
              <w:gridCol w:w="4647"/>
              <w:gridCol w:w="1830"/>
            </w:tblGrid>
            <w:tr w:rsidR="00606DF2" w14:paraId="76ABE76D" w14:textId="77777777">
              <w:tc>
                <w:tcPr>
                  <w:tcW w:w="5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0C03FCF" w14:textId="77777777" w:rsidR="00606DF2" w:rsidRPr="00856C17" w:rsidRDefault="00606DF2" w:rsidP="00856C17">
                  <w:pPr>
                    <w:rPr>
                      <w:rStyle w:val="Emphasis"/>
                      <w:color w:val="1C1F63" w:themeColor="text1"/>
                    </w:rPr>
                  </w:pPr>
                  <w:r w:rsidRPr="00856C17">
                    <w:rPr>
                      <w:rStyle w:val="Emphasis"/>
                      <w:color w:val="1C1F63" w:themeColor="text1"/>
                    </w:rPr>
                    <w:t>Commercially Sensitive</w:t>
                  </w:r>
                </w:p>
              </w:tc>
              <w:tc>
                <w:tcPr>
                  <w:tcW w:w="2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A5CD6DF" w14:textId="77777777" w:rsidR="00196DED" w:rsidRPr="009A23EC" w:rsidRDefault="009C145A">
                  <w:pPr>
                    <w:spacing w:after="0"/>
                    <w:rPr>
                      <w:b/>
                      <w:bCs/>
                      <w:color w:val="7030A0"/>
                      <w:sz w:val="22"/>
                      <w:szCs w:val="24"/>
                    </w:rPr>
                  </w:pPr>
                  <w:r w:rsidRPr="009A23EC">
                    <w:rPr>
                      <w:b/>
                      <w:bCs/>
                      <w:color w:val="7030A0"/>
                      <w:sz w:val="22"/>
                      <w:szCs w:val="24"/>
                    </w:rPr>
                    <w:t>No</w:t>
                  </w:r>
                </w:p>
              </w:tc>
            </w:tr>
            <w:tr w:rsidR="00606DF2" w14:paraId="6456EFA5" w14:textId="77777777">
              <w:tc>
                <w:tcPr>
                  <w:tcW w:w="5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BDA2633" w14:textId="77777777" w:rsidR="00606DF2" w:rsidRPr="00856C17" w:rsidRDefault="00606DF2" w:rsidP="00856C17">
                  <w:pPr>
                    <w:rPr>
                      <w:rStyle w:val="Emphasis"/>
                      <w:color w:val="1C1F63" w:themeColor="text1"/>
                    </w:rPr>
                  </w:pPr>
                  <w:r w:rsidRPr="00856C17">
                    <w:rPr>
                      <w:rStyle w:val="Emphasis"/>
                      <w:color w:val="1C1F63" w:themeColor="text1"/>
                    </w:rPr>
                    <w:t>Legally Sensitive</w:t>
                  </w:r>
                </w:p>
              </w:tc>
              <w:tc>
                <w:tcPr>
                  <w:tcW w:w="2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AF8580E" w14:textId="77777777" w:rsidR="00196DED" w:rsidRPr="009A23EC" w:rsidRDefault="009C145A">
                  <w:pPr>
                    <w:spacing w:after="0"/>
                    <w:rPr>
                      <w:b/>
                      <w:bCs/>
                      <w:color w:val="7030A0"/>
                      <w:sz w:val="22"/>
                      <w:szCs w:val="24"/>
                    </w:rPr>
                  </w:pPr>
                  <w:r w:rsidRPr="009A23EC">
                    <w:rPr>
                      <w:b/>
                      <w:bCs/>
                      <w:color w:val="7030A0"/>
                      <w:sz w:val="22"/>
                      <w:szCs w:val="24"/>
                    </w:rPr>
                    <w:t>No</w:t>
                  </w:r>
                </w:p>
              </w:tc>
            </w:tr>
            <w:tr w:rsidR="00606DF2" w14:paraId="4087B701" w14:textId="77777777">
              <w:tc>
                <w:tcPr>
                  <w:tcW w:w="5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6346F9E" w14:textId="77777777" w:rsidR="00606DF2" w:rsidRPr="00856C17" w:rsidRDefault="00606DF2" w:rsidP="00856C17">
                  <w:pPr>
                    <w:rPr>
                      <w:rStyle w:val="Emphasis"/>
                      <w:color w:val="1C1F63" w:themeColor="text1"/>
                    </w:rPr>
                  </w:pPr>
                  <w:r w:rsidRPr="00856C17">
                    <w:rPr>
                      <w:rStyle w:val="Emphasis"/>
                      <w:color w:val="1C1F63" w:themeColor="text1"/>
                    </w:rPr>
                    <w:t>Contains Patient Identifiable data</w:t>
                  </w:r>
                </w:p>
              </w:tc>
              <w:tc>
                <w:tcPr>
                  <w:tcW w:w="2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4AB0911" w14:textId="77777777" w:rsidR="00196DED" w:rsidRPr="009A23EC" w:rsidRDefault="009C145A">
                  <w:pPr>
                    <w:spacing w:after="0"/>
                    <w:rPr>
                      <w:b/>
                      <w:bCs/>
                      <w:color w:val="7030A0"/>
                      <w:sz w:val="22"/>
                      <w:szCs w:val="24"/>
                    </w:rPr>
                  </w:pPr>
                  <w:r w:rsidRPr="009A23EC">
                    <w:rPr>
                      <w:b/>
                      <w:bCs/>
                      <w:color w:val="7030A0"/>
                      <w:sz w:val="22"/>
                      <w:szCs w:val="24"/>
                    </w:rPr>
                    <w:t>No</w:t>
                  </w:r>
                </w:p>
              </w:tc>
            </w:tr>
            <w:tr w:rsidR="00606DF2" w14:paraId="4A6CD31F" w14:textId="77777777">
              <w:tc>
                <w:tcPr>
                  <w:tcW w:w="5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184756F" w14:textId="77777777" w:rsidR="00606DF2" w:rsidRPr="00856C17" w:rsidRDefault="00606DF2" w:rsidP="00856C17">
                  <w:pPr>
                    <w:rPr>
                      <w:rStyle w:val="Emphasis"/>
                      <w:color w:val="1C1F63" w:themeColor="text1"/>
                    </w:rPr>
                  </w:pPr>
                  <w:r w:rsidRPr="00856C17">
                    <w:rPr>
                      <w:rStyle w:val="Emphasis"/>
                      <w:color w:val="1C1F63" w:themeColor="text1"/>
                    </w:rPr>
                    <w:t>Financially Sensitive</w:t>
                  </w:r>
                </w:p>
              </w:tc>
              <w:tc>
                <w:tcPr>
                  <w:tcW w:w="2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199F585" w14:textId="77777777" w:rsidR="00196DED" w:rsidRPr="009A23EC" w:rsidRDefault="009C145A">
                  <w:pPr>
                    <w:spacing w:after="0"/>
                    <w:rPr>
                      <w:b/>
                      <w:bCs/>
                      <w:color w:val="7030A0"/>
                      <w:sz w:val="22"/>
                      <w:szCs w:val="24"/>
                    </w:rPr>
                  </w:pPr>
                  <w:r w:rsidRPr="009A23EC">
                    <w:rPr>
                      <w:b/>
                      <w:bCs/>
                      <w:color w:val="7030A0"/>
                      <w:sz w:val="22"/>
                      <w:szCs w:val="24"/>
                    </w:rPr>
                    <w:t>No</w:t>
                  </w:r>
                </w:p>
              </w:tc>
            </w:tr>
            <w:tr w:rsidR="00606DF2" w14:paraId="2A12145A" w14:textId="77777777">
              <w:tc>
                <w:tcPr>
                  <w:tcW w:w="5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BEC2401" w14:textId="77777777" w:rsidR="00606DF2" w:rsidRPr="00856C17" w:rsidRDefault="00606DF2" w:rsidP="00856C17">
                  <w:pPr>
                    <w:rPr>
                      <w:rStyle w:val="Emphasis"/>
                      <w:color w:val="1C1F63" w:themeColor="text1"/>
                    </w:rPr>
                  </w:pPr>
                  <w:r w:rsidRPr="00856C17">
                    <w:rPr>
                      <w:rStyle w:val="Emphasis"/>
                      <w:color w:val="1C1F63" w:themeColor="text1"/>
                    </w:rPr>
                    <w:t xml:space="preserve">Time Sensitive – not for public release </w:t>
                  </w:r>
                  <w:proofErr w:type="gramStart"/>
                  <w:r w:rsidRPr="00856C17">
                    <w:rPr>
                      <w:rStyle w:val="Emphasis"/>
                      <w:color w:val="1C1F63" w:themeColor="text1"/>
                    </w:rPr>
                    <w:t>at this time</w:t>
                  </w:r>
                  <w:proofErr w:type="gramEnd"/>
                </w:p>
              </w:tc>
              <w:tc>
                <w:tcPr>
                  <w:tcW w:w="2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D2E08BD" w14:textId="77777777" w:rsidR="00196DED" w:rsidRPr="009A23EC" w:rsidRDefault="009C145A">
                  <w:pPr>
                    <w:spacing w:after="0"/>
                    <w:rPr>
                      <w:b/>
                      <w:bCs/>
                      <w:color w:val="7030A0"/>
                      <w:sz w:val="22"/>
                      <w:szCs w:val="24"/>
                    </w:rPr>
                  </w:pPr>
                  <w:r w:rsidRPr="009A23EC">
                    <w:rPr>
                      <w:b/>
                      <w:bCs/>
                      <w:color w:val="7030A0"/>
                      <w:sz w:val="22"/>
                      <w:szCs w:val="24"/>
                    </w:rPr>
                    <w:t>No</w:t>
                  </w:r>
                </w:p>
              </w:tc>
            </w:tr>
            <w:tr w:rsidR="00606DF2" w14:paraId="277301B2" w14:textId="77777777">
              <w:tc>
                <w:tcPr>
                  <w:tcW w:w="5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2A3846F" w14:textId="77777777" w:rsidR="00606DF2" w:rsidRPr="00856C17" w:rsidRDefault="00606DF2" w:rsidP="00856C17">
                  <w:pPr>
                    <w:rPr>
                      <w:rStyle w:val="Emphasis"/>
                      <w:color w:val="1C1F63" w:themeColor="text1"/>
                    </w:rPr>
                  </w:pPr>
                  <w:r w:rsidRPr="00856C17">
                    <w:rPr>
                      <w:rStyle w:val="Emphasis"/>
                      <w:color w:val="1C1F63" w:themeColor="text1"/>
                    </w:rPr>
                    <w:t>Other (Please state)</w:t>
                  </w:r>
                </w:p>
              </w:tc>
              <w:tc>
                <w:tcPr>
                  <w:tcW w:w="2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61C5198" w14:textId="77777777" w:rsidR="00196DED" w:rsidRPr="009A23EC" w:rsidRDefault="009C145A">
                  <w:pPr>
                    <w:spacing w:after="0"/>
                    <w:rPr>
                      <w:b/>
                      <w:bCs/>
                      <w:color w:val="7030A0"/>
                      <w:sz w:val="22"/>
                      <w:szCs w:val="24"/>
                    </w:rPr>
                  </w:pPr>
                  <w:r w:rsidRPr="009A23EC">
                    <w:rPr>
                      <w:b/>
                      <w:bCs/>
                      <w:color w:val="7030A0"/>
                      <w:sz w:val="22"/>
                      <w:szCs w:val="24"/>
                    </w:rPr>
                    <w:t>No</w:t>
                  </w:r>
                </w:p>
              </w:tc>
            </w:tr>
          </w:tbl>
          <w:p w14:paraId="0214DC77" w14:textId="77777777" w:rsidR="00606DF2" w:rsidRDefault="00606DF2">
            <w:pPr>
              <w:rPr>
                <w:rFonts w:cs="Arial"/>
                <w:color w:val="FF0000"/>
              </w:rPr>
            </w:pPr>
          </w:p>
        </w:tc>
      </w:tr>
      <w:tr w:rsidR="00606DF2" w14:paraId="0BA01911" w14:textId="77777777" w:rsidTr="17B2C8A7">
        <w:trPr>
          <w:trHeight w:val="282"/>
        </w:trPr>
        <w:tc>
          <w:tcPr>
            <w:tcW w:w="9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14:paraId="28958871" w14:textId="77777777" w:rsidR="00196DED" w:rsidRDefault="009C145A">
            <w:pPr>
              <w:spacing w:after="0"/>
            </w:pPr>
            <w:r>
              <w:rPr>
                <w:sz w:val="20"/>
              </w:rPr>
              <w:t>Purpose: For Approval</w:t>
            </w:r>
          </w:p>
        </w:tc>
      </w:tr>
      <w:tr w:rsidR="00606DF2" w14:paraId="2D57BAA9" w14:textId="77777777" w:rsidTr="17B2C8A7">
        <w:trPr>
          <w:trHeight w:val="282"/>
        </w:trPr>
        <w:tc>
          <w:tcPr>
            <w:tcW w:w="9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14:paraId="17EE55A1" w14:textId="77777777" w:rsidR="00606DF2" w:rsidRPr="00856C17" w:rsidRDefault="00606DF2">
            <w:pPr>
              <w:rPr>
                <w:rStyle w:val="Emphasis"/>
              </w:rPr>
            </w:pPr>
            <w:r w:rsidRPr="00856C17">
              <w:rPr>
                <w:rStyle w:val="Emphasis"/>
              </w:rPr>
              <w:t>Key Points for Discussion:</w:t>
            </w:r>
          </w:p>
        </w:tc>
      </w:tr>
      <w:tr w:rsidR="00606DF2" w14:paraId="447C6D7F" w14:textId="77777777" w:rsidTr="17B2C8A7">
        <w:trPr>
          <w:trHeight w:val="1263"/>
        </w:trPr>
        <w:tc>
          <w:tcPr>
            <w:tcW w:w="9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7B114" w14:textId="208A5E2C" w:rsidR="00196DED" w:rsidRPr="006F7B41" w:rsidRDefault="009C145A">
            <w:pPr>
              <w:spacing w:after="0"/>
              <w:rPr>
                <w:sz w:val="20"/>
                <w:szCs w:val="20"/>
              </w:rPr>
            </w:pPr>
            <w:r w:rsidRPr="006F7B41">
              <w:rPr>
                <w:sz w:val="20"/>
                <w:szCs w:val="20"/>
              </w:rPr>
              <w:t>This paper presents the 2026/27 place-based Winter Plans and Board Assurance Statements (BAS) for Gloucestershire and BNSSG within a shared cluster approach to oversight, learning and assurance. Both plans respond to NHS England requirements and are informed by system engagement, Winter 2025/26 learning, population need, demand and capacity, prevention and operational resilience.</w:t>
            </w:r>
            <w:r w:rsidRPr="006F7B41">
              <w:br/>
            </w:r>
            <w:r w:rsidRPr="006F7B41">
              <w:br/>
            </w:r>
            <w:r w:rsidR="00F85555" w:rsidRPr="006F7B41">
              <w:rPr>
                <w:sz w:val="20"/>
                <w:szCs w:val="20"/>
              </w:rPr>
              <w:t xml:space="preserve">BNSSG and </w:t>
            </w:r>
            <w:r w:rsidRPr="006F7B41">
              <w:rPr>
                <w:sz w:val="20"/>
                <w:szCs w:val="20"/>
              </w:rPr>
              <w:t xml:space="preserve">Gloucestershire report </w:t>
            </w:r>
            <w:r w:rsidR="00F85555" w:rsidRPr="006F7B41">
              <w:rPr>
                <w:sz w:val="20"/>
                <w:szCs w:val="20"/>
              </w:rPr>
              <w:t xml:space="preserve">a </w:t>
            </w:r>
            <w:r w:rsidRPr="006F7B41">
              <w:rPr>
                <w:sz w:val="20"/>
                <w:szCs w:val="20"/>
              </w:rPr>
              <w:t>generally strong level of preparedness, with qualifications relating to flow and discharge, corridor-care arrangements</w:t>
            </w:r>
            <w:r w:rsidR="51E6179B" w:rsidRPr="006F7B41">
              <w:rPr>
                <w:sz w:val="20"/>
                <w:szCs w:val="20"/>
              </w:rPr>
              <w:t xml:space="preserve"> and </w:t>
            </w:r>
            <w:r w:rsidRPr="006F7B41">
              <w:rPr>
                <w:sz w:val="20"/>
                <w:szCs w:val="20"/>
              </w:rPr>
              <w:t xml:space="preserve">community </w:t>
            </w:r>
            <w:proofErr w:type="gramStart"/>
            <w:r w:rsidRPr="006F7B41">
              <w:rPr>
                <w:sz w:val="20"/>
                <w:szCs w:val="20"/>
              </w:rPr>
              <w:t xml:space="preserve">capacity </w:t>
            </w:r>
            <w:r w:rsidR="2258F426" w:rsidRPr="006F7B41">
              <w:rPr>
                <w:sz w:val="20"/>
                <w:szCs w:val="20"/>
              </w:rPr>
              <w:t>.</w:t>
            </w:r>
            <w:proofErr w:type="gramEnd"/>
            <w:r w:rsidRPr="006F7B41">
              <w:rPr>
                <w:sz w:val="20"/>
                <w:szCs w:val="20"/>
              </w:rPr>
              <w:t xml:space="preserve"> Actions will remain under active winter oversight.</w:t>
            </w:r>
          </w:p>
          <w:p w14:paraId="19A0AF94" w14:textId="7F0B0450" w:rsidR="001965A2" w:rsidRPr="006F7B41" w:rsidRDefault="001965A2">
            <w:pPr>
              <w:spacing w:after="0"/>
              <w:rPr>
                <w:sz w:val="20"/>
                <w:szCs w:val="20"/>
              </w:rPr>
            </w:pPr>
          </w:p>
        </w:tc>
      </w:tr>
      <w:tr w:rsidR="00606DF2" w14:paraId="75B1BEA2" w14:textId="77777777" w:rsidTr="17B2C8A7">
        <w:trPr>
          <w:trHeight w:val="730"/>
        </w:trPr>
        <w:tc>
          <w:tcPr>
            <w:tcW w:w="3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14:paraId="74818BD5" w14:textId="77777777" w:rsidR="00606DF2" w:rsidRPr="00856C17" w:rsidRDefault="00606DF2">
            <w:pPr>
              <w:spacing w:before="300"/>
              <w:rPr>
                <w:rStyle w:val="Emphasis"/>
              </w:rPr>
            </w:pPr>
            <w:r w:rsidRPr="00856C17">
              <w:rPr>
                <w:rStyle w:val="Emphasis"/>
              </w:rPr>
              <w:t>Recommendations: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41726" w14:textId="77777777" w:rsidR="009A23EC" w:rsidRPr="006F7B41" w:rsidRDefault="009C145A">
            <w:pPr>
              <w:spacing w:after="0"/>
              <w:rPr>
                <w:sz w:val="20"/>
                <w:szCs w:val="20"/>
              </w:rPr>
            </w:pPr>
            <w:r w:rsidRPr="006F7B41">
              <w:rPr>
                <w:sz w:val="20"/>
                <w:szCs w:val="20"/>
              </w:rPr>
              <w:t xml:space="preserve">The Boards are asked to: </w:t>
            </w:r>
          </w:p>
          <w:p w14:paraId="1116BA43" w14:textId="77777777" w:rsidR="009A23EC" w:rsidRPr="006F7B41" w:rsidRDefault="009C145A">
            <w:pPr>
              <w:spacing w:after="0"/>
              <w:rPr>
                <w:sz w:val="20"/>
                <w:szCs w:val="20"/>
              </w:rPr>
            </w:pPr>
            <w:r w:rsidRPr="006F7B41">
              <w:rPr>
                <w:sz w:val="20"/>
                <w:szCs w:val="20"/>
              </w:rPr>
              <w:t xml:space="preserve">(1) approve and assure their respective Winter Plans and BAS returns; </w:t>
            </w:r>
          </w:p>
          <w:p w14:paraId="4DAC13CF" w14:textId="77777777" w:rsidR="009A23EC" w:rsidRPr="006F7B41" w:rsidRDefault="009C145A">
            <w:pPr>
              <w:spacing w:after="0"/>
              <w:rPr>
                <w:sz w:val="20"/>
                <w:szCs w:val="20"/>
              </w:rPr>
            </w:pPr>
            <w:r w:rsidRPr="006F7B41">
              <w:rPr>
                <w:sz w:val="20"/>
                <w:szCs w:val="20"/>
              </w:rPr>
              <w:t xml:space="preserve">(2) note outstanding assurance and related actions; and </w:t>
            </w:r>
          </w:p>
          <w:p w14:paraId="28DE5D65" w14:textId="2FF463F9" w:rsidR="00196DED" w:rsidRPr="006F7B41" w:rsidRDefault="009C145A">
            <w:pPr>
              <w:spacing w:after="0"/>
              <w:rPr>
                <w:sz w:val="20"/>
                <w:szCs w:val="20"/>
              </w:rPr>
            </w:pPr>
            <w:r w:rsidRPr="006F7B41">
              <w:rPr>
                <w:sz w:val="20"/>
                <w:szCs w:val="20"/>
              </w:rPr>
              <w:t>(3) delegate final minor amendments to the respective Executive Winter Leads.</w:t>
            </w:r>
          </w:p>
        </w:tc>
      </w:tr>
      <w:tr w:rsidR="00606DF2" w14:paraId="04A94459" w14:textId="77777777" w:rsidTr="17B2C8A7">
        <w:trPr>
          <w:trHeight w:val="811"/>
        </w:trPr>
        <w:tc>
          <w:tcPr>
            <w:tcW w:w="3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14:paraId="3EEB4FFA" w14:textId="77777777" w:rsidR="00606DF2" w:rsidRPr="00856C17" w:rsidRDefault="00606DF2">
            <w:pPr>
              <w:rPr>
                <w:rStyle w:val="Emphasis"/>
              </w:rPr>
            </w:pPr>
            <w:r w:rsidRPr="00856C17">
              <w:rPr>
                <w:rStyle w:val="Emphasis"/>
              </w:rPr>
              <w:t>Previously Considered By and feedback: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7FEDD" w14:textId="7E58C9E7" w:rsidR="00196DED" w:rsidRPr="006F7B41" w:rsidRDefault="009C145A">
            <w:pPr>
              <w:spacing w:after="0"/>
              <w:rPr>
                <w:sz w:val="20"/>
                <w:szCs w:val="20"/>
              </w:rPr>
            </w:pPr>
            <w:r w:rsidRPr="006F7B41">
              <w:rPr>
                <w:sz w:val="20"/>
                <w:szCs w:val="20"/>
              </w:rPr>
              <w:t>Gloucestershire ICS Strategic Executives, August 2026.</w:t>
            </w:r>
            <w:r w:rsidRPr="006F7B41">
              <w:rPr>
                <w:sz w:val="20"/>
                <w:szCs w:val="20"/>
              </w:rPr>
              <w:br/>
            </w:r>
            <w:r w:rsidR="00E63F1A" w:rsidRPr="006F7B41">
              <w:rPr>
                <w:sz w:val="20"/>
                <w:szCs w:val="20"/>
              </w:rPr>
              <w:t>Cluster FQP</w:t>
            </w:r>
            <w:r w:rsidR="0005401C" w:rsidRPr="006F7B41">
              <w:rPr>
                <w:sz w:val="20"/>
                <w:szCs w:val="20"/>
              </w:rPr>
              <w:t xml:space="preserve"> September 2026 (Finance, Quality and Performance)</w:t>
            </w:r>
          </w:p>
        </w:tc>
      </w:tr>
      <w:tr w:rsidR="00C740F3" w14:paraId="6C22730D" w14:textId="77777777" w:rsidTr="17B2C8A7">
        <w:trPr>
          <w:trHeight w:val="70"/>
        </w:trPr>
        <w:tc>
          <w:tcPr>
            <w:tcW w:w="3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14:paraId="6CAFB88F" w14:textId="77777777" w:rsidR="00C740F3" w:rsidRPr="00856C17" w:rsidRDefault="00C740F3" w:rsidP="00C740F3">
            <w:pPr>
              <w:rPr>
                <w:rStyle w:val="Emphasis"/>
              </w:rPr>
            </w:pPr>
            <w:r w:rsidRPr="00856C17">
              <w:rPr>
                <w:rStyle w:val="Emphasis"/>
              </w:rPr>
              <w:lastRenderedPageBreak/>
              <w:t>Management of Declared Interest: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848ED" w14:textId="77777777" w:rsidR="00196DED" w:rsidRPr="006F7B41" w:rsidRDefault="009C145A">
            <w:pPr>
              <w:spacing w:after="0"/>
              <w:rPr>
                <w:sz w:val="20"/>
                <w:szCs w:val="20"/>
              </w:rPr>
            </w:pPr>
            <w:r w:rsidRPr="006F7B41">
              <w:rPr>
                <w:sz w:val="20"/>
                <w:szCs w:val="20"/>
              </w:rPr>
              <w:t>None identified.</w:t>
            </w:r>
          </w:p>
        </w:tc>
      </w:tr>
      <w:tr w:rsidR="00C740F3" w14:paraId="513425EF" w14:textId="77777777" w:rsidTr="17B2C8A7">
        <w:trPr>
          <w:trHeight w:val="896"/>
        </w:trPr>
        <w:tc>
          <w:tcPr>
            <w:tcW w:w="3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14:paraId="00A4BA74" w14:textId="77777777" w:rsidR="00C740F3" w:rsidRPr="00856C17" w:rsidRDefault="00C740F3" w:rsidP="00C740F3">
            <w:pPr>
              <w:spacing w:before="300"/>
              <w:rPr>
                <w:rStyle w:val="Emphasis"/>
              </w:rPr>
            </w:pPr>
            <w:r w:rsidRPr="00856C17">
              <w:rPr>
                <w:rStyle w:val="Emphasis"/>
              </w:rPr>
              <w:t>Risk and Assurance: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CD1BF" w14:textId="77777777" w:rsidR="00546A68" w:rsidRPr="006F7B41" w:rsidRDefault="009C145A">
            <w:pPr>
              <w:spacing w:after="0"/>
              <w:rPr>
                <w:sz w:val="20"/>
                <w:szCs w:val="20"/>
              </w:rPr>
            </w:pPr>
            <w:r w:rsidRPr="006F7B41">
              <w:rPr>
                <w:sz w:val="20"/>
                <w:szCs w:val="20"/>
              </w:rPr>
              <w:t xml:space="preserve">The BAS records local qualifications and actions. </w:t>
            </w:r>
          </w:p>
          <w:p w14:paraId="09263EE6" w14:textId="5C864F0C" w:rsidR="00546A68" w:rsidRPr="006F7B41" w:rsidRDefault="009C145A">
            <w:pPr>
              <w:spacing w:after="0"/>
              <w:rPr>
                <w:sz w:val="20"/>
                <w:szCs w:val="20"/>
              </w:rPr>
            </w:pPr>
            <w:r w:rsidRPr="006F7B41">
              <w:rPr>
                <w:b/>
                <w:bCs/>
                <w:i/>
                <w:iCs/>
                <w:sz w:val="20"/>
                <w:szCs w:val="20"/>
              </w:rPr>
              <w:t>Gloucestershire</w:t>
            </w:r>
            <w:r w:rsidRPr="006F7B41">
              <w:rPr>
                <w:sz w:val="20"/>
                <w:szCs w:val="20"/>
              </w:rPr>
              <w:t xml:space="preserve"> priorities are discharge model maturity and baselining, corridor-care thresholds</w:t>
            </w:r>
            <w:r w:rsidR="0E6A7024" w:rsidRPr="006F7B41">
              <w:rPr>
                <w:sz w:val="20"/>
                <w:szCs w:val="20"/>
              </w:rPr>
              <w:t xml:space="preserve"> and </w:t>
            </w:r>
            <w:r w:rsidRPr="006F7B41">
              <w:rPr>
                <w:sz w:val="20"/>
                <w:szCs w:val="20"/>
              </w:rPr>
              <w:t>community capacity</w:t>
            </w:r>
            <w:r w:rsidR="286A55C6" w:rsidRPr="006F7B41">
              <w:rPr>
                <w:sz w:val="20"/>
                <w:szCs w:val="20"/>
              </w:rPr>
              <w:t>.</w:t>
            </w:r>
            <w:r w:rsidRPr="006F7B41">
              <w:rPr>
                <w:sz w:val="20"/>
                <w:szCs w:val="20"/>
              </w:rPr>
              <w:t xml:space="preserve"> These will be monitored through place governance, Integrated OPEL and SCC arrangements, with cluster oversight supporting learning and escalation.</w:t>
            </w:r>
          </w:p>
          <w:p w14:paraId="4A91AA04" w14:textId="49DDD7F0" w:rsidR="00196DED" w:rsidRPr="006F7B41" w:rsidRDefault="00546A68">
            <w:pPr>
              <w:spacing w:after="0"/>
              <w:rPr>
                <w:sz w:val="20"/>
                <w:szCs w:val="20"/>
              </w:rPr>
            </w:pPr>
            <w:r w:rsidRPr="006F7B41">
              <w:rPr>
                <w:b/>
                <w:bCs/>
                <w:i/>
                <w:iCs/>
                <w:sz w:val="20"/>
                <w:szCs w:val="20"/>
              </w:rPr>
              <w:t>BNSSG</w:t>
            </w:r>
            <w:r w:rsidRPr="006F7B41">
              <w:rPr>
                <w:sz w:val="20"/>
                <w:szCs w:val="20"/>
              </w:rPr>
              <w:t xml:space="preserve"> </w:t>
            </w:r>
            <w:r w:rsidR="007D5434" w:rsidRPr="006F7B41">
              <w:rPr>
                <w:sz w:val="20"/>
                <w:szCs w:val="20"/>
              </w:rPr>
              <w:t xml:space="preserve">priorities include </w:t>
            </w:r>
            <w:r w:rsidR="00B525F8" w:rsidRPr="006F7B41">
              <w:rPr>
                <w:sz w:val="20"/>
                <w:szCs w:val="20"/>
              </w:rPr>
              <w:t xml:space="preserve">maximising </w:t>
            </w:r>
            <w:r w:rsidR="007D5434" w:rsidRPr="006F7B41">
              <w:rPr>
                <w:sz w:val="20"/>
                <w:szCs w:val="20"/>
              </w:rPr>
              <w:t xml:space="preserve">community capacity, </w:t>
            </w:r>
            <w:r w:rsidR="00B96BC4" w:rsidRPr="006F7B41">
              <w:rPr>
                <w:sz w:val="20"/>
                <w:szCs w:val="20"/>
              </w:rPr>
              <w:t xml:space="preserve">minimising </w:t>
            </w:r>
            <w:r w:rsidR="007D5434" w:rsidRPr="006F7B41">
              <w:rPr>
                <w:sz w:val="20"/>
                <w:szCs w:val="20"/>
              </w:rPr>
              <w:t xml:space="preserve">acute corridor care, </w:t>
            </w:r>
            <w:r w:rsidR="00AF0401" w:rsidRPr="006F7B41">
              <w:rPr>
                <w:sz w:val="20"/>
                <w:szCs w:val="20"/>
              </w:rPr>
              <w:t>demand modelling within community pathways</w:t>
            </w:r>
            <w:r w:rsidR="00B525F8" w:rsidRPr="006F7B41">
              <w:rPr>
                <w:sz w:val="20"/>
                <w:szCs w:val="20"/>
              </w:rPr>
              <w:t xml:space="preserve">, </w:t>
            </w:r>
          </w:p>
        </w:tc>
      </w:tr>
      <w:tr w:rsidR="00C740F3" w14:paraId="6A9EEDC4" w14:textId="77777777" w:rsidTr="17B2C8A7">
        <w:trPr>
          <w:trHeight w:val="727"/>
        </w:trPr>
        <w:tc>
          <w:tcPr>
            <w:tcW w:w="3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58A015E5" w14:textId="77777777" w:rsidR="00C740F3" w:rsidRPr="00856C17" w:rsidRDefault="00C740F3" w:rsidP="00C740F3">
            <w:pPr>
              <w:rPr>
                <w:rStyle w:val="Emphasis"/>
              </w:rPr>
            </w:pPr>
            <w:r w:rsidRPr="00856C17">
              <w:rPr>
                <w:rStyle w:val="Emphasis"/>
              </w:rPr>
              <w:t xml:space="preserve">Patient and Public Involvement: 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4C464" w14:textId="3685C57A" w:rsidR="00196DED" w:rsidRPr="006F7B41" w:rsidRDefault="009C145A">
            <w:pPr>
              <w:spacing w:after="0"/>
              <w:rPr>
                <w:sz w:val="20"/>
                <w:szCs w:val="20"/>
              </w:rPr>
            </w:pPr>
            <w:r w:rsidRPr="006F7B41">
              <w:rPr>
                <w:sz w:val="20"/>
                <w:szCs w:val="20"/>
              </w:rPr>
              <w:t xml:space="preserve">Plans draw on system partner engagement, population insight and Winter 2025/26 learning. No separate public consultation was undertaken for this assurance submission. </w:t>
            </w:r>
          </w:p>
        </w:tc>
      </w:tr>
      <w:tr w:rsidR="00C740F3" w14:paraId="2EB049BE" w14:textId="77777777" w:rsidTr="17B2C8A7">
        <w:trPr>
          <w:trHeight w:val="727"/>
        </w:trPr>
        <w:tc>
          <w:tcPr>
            <w:tcW w:w="3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14:paraId="6E14764E" w14:textId="77777777" w:rsidR="00C740F3" w:rsidRPr="00856C17" w:rsidRDefault="00C740F3" w:rsidP="00C740F3">
            <w:pPr>
              <w:rPr>
                <w:rStyle w:val="Emphasis"/>
              </w:rPr>
            </w:pPr>
            <w:r w:rsidRPr="00856C17">
              <w:rPr>
                <w:rStyle w:val="Emphasis"/>
              </w:rPr>
              <w:t>Financial / Resource Implications: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B8314" w14:textId="1FEFC8B1" w:rsidR="00196DED" w:rsidRPr="006F7B41" w:rsidRDefault="009C145A">
            <w:pPr>
              <w:spacing w:after="0"/>
              <w:rPr>
                <w:sz w:val="20"/>
                <w:szCs w:val="20"/>
              </w:rPr>
            </w:pPr>
            <w:r w:rsidRPr="006F7B41">
              <w:rPr>
                <w:sz w:val="20"/>
                <w:szCs w:val="20"/>
              </w:rPr>
              <w:t xml:space="preserve">Delivery is expected within agreed financial plans. Unfunded surge requirements will be subject to place-based financial, quality and governance processes. </w:t>
            </w:r>
          </w:p>
        </w:tc>
      </w:tr>
      <w:tr w:rsidR="00C740F3" w14:paraId="28D51C50" w14:textId="77777777" w:rsidTr="17B2C8A7">
        <w:trPr>
          <w:trHeight w:val="727"/>
        </w:trPr>
        <w:tc>
          <w:tcPr>
            <w:tcW w:w="3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14:paraId="3C09CFB2" w14:textId="77777777" w:rsidR="00C740F3" w:rsidRPr="00856C17" w:rsidRDefault="00C740F3" w:rsidP="00C740F3">
            <w:pPr>
              <w:rPr>
                <w:rStyle w:val="Emphasis"/>
              </w:rPr>
            </w:pPr>
            <w:r w:rsidRPr="00856C17">
              <w:rPr>
                <w:rStyle w:val="Emphasis"/>
              </w:rPr>
              <w:t xml:space="preserve">Legal, </w:t>
            </w:r>
            <w:r>
              <w:rPr>
                <w:rStyle w:val="Emphasis"/>
              </w:rPr>
              <w:t xml:space="preserve">Procurement, </w:t>
            </w:r>
            <w:r w:rsidRPr="00856C17">
              <w:rPr>
                <w:rStyle w:val="Emphasis"/>
              </w:rPr>
              <w:t>Policy and Regulatory Requirements: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1B90D" w14:textId="1E19D1F7" w:rsidR="00196DED" w:rsidRPr="006F7B41" w:rsidRDefault="009C145A">
            <w:pPr>
              <w:spacing w:after="0"/>
              <w:rPr>
                <w:sz w:val="20"/>
                <w:szCs w:val="20"/>
              </w:rPr>
            </w:pPr>
            <w:r w:rsidRPr="006F7B41">
              <w:rPr>
                <w:sz w:val="20"/>
                <w:szCs w:val="20"/>
              </w:rPr>
              <w:t xml:space="preserve">The plans respond to NHS England Winter Planning Guidance and BAS requirements. Providers retain responsibility for operational plans and statutory duties. No specific legal or procurement decision is requested. </w:t>
            </w:r>
          </w:p>
        </w:tc>
      </w:tr>
      <w:tr w:rsidR="00C740F3" w14:paraId="2EAA9BCD" w14:textId="77777777" w:rsidTr="17B2C8A7">
        <w:trPr>
          <w:trHeight w:val="727"/>
        </w:trPr>
        <w:tc>
          <w:tcPr>
            <w:tcW w:w="3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14:paraId="12ABF4D1" w14:textId="77777777" w:rsidR="00C740F3" w:rsidRPr="00856C17" w:rsidRDefault="00C740F3" w:rsidP="00C740F3">
            <w:pPr>
              <w:rPr>
                <w:rStyle w:val="Emphasis"/>
              </w:rPr>
            </w:pPr>
            <w:bookmarkStart w:id="0" w:name="_Hlk189473220"/>
            <w:bookmarkStart w:id="1" w:name="_Hlk189473351"/>
            <w:r w:rsidRPr="00264275">
              <w:rPr>
                <w:rStyle w:val="Emphasis"/>
              </w:rPr>
              <w:t>How does this impact on health inequalities, equality and diversity and population health?</w:t>
            </w:r>
            <w:bookmarkEnd w:id="0"/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BC1E7" w14:textId="501394FF" w:rsidR="00196DED" w:rsidRPr="006F7B41" w:rsidRDefault="009C145A">
            <w:pPr>
              <w:spacing w:after="0"/>
              <w:rPr>
                <w:sz w:val="20"/>
                <w:szCs w:val="20"/>
              </w:rPr>
            </w:pPr>
            <w:r w:rsidRPr="006F7B41">
              <w:rPr>
                <w:sz w:val="20"/>
                <w:szCs w:val="20"/>
              </w:rPr>
              <w:t>Both plans prioritise prevention, vaccination, risk stratification and proactive support for vulnerable groups. Gloucestershire</w:t>
            </w:r>
            <w:r w:rsidR="001B7028" w:rsidRPr="006F7B41">
              <w:rPr>
                <w:sz w:val="20"/>
                <w:szCs w:val="20"/>
              </w:rPr>
              <w:t xml:space="preserve"> and BNSSG</w:t>
            </w:r>
            <w:r w:rsidRPr="006F7B41">
              <w:rPr>
                <w:sz w:val="20"/>
                <w:szCs w:val="20"/>
              </w:rPr>
              <w:t xml:space="preserve"> ha</w:t>
            </w:r>
            <w:r w:rsidR="001B7028" w:rsidRPr="006F7B41">
              <w:rPr>
                <w:sz w:val="20"/>
                <w:szCs w:val="20"/>
              </w:rPr>
              <w:t>ve</w:t>
            </w:r>
            <w:r w:rsidRPr="006F7B41">
              <w:rPr>
                <w:sz w:val="20"/>
                <w:szCs w:val="20"/>
              </w:rPr>
              <w:t xml:space="preserve"> considered quality, equality and inequalities through its QIA.</w:t>
            </w:r>
          </w:p>
        </w:tc>
      </w:tr>
      <w:tr w:rsidR="00C740F3" w14:paraId="6DA52672" w14:textId="77777777" w:rsidTr="17B2C8A7">
        <w:trPr>
          <w:trHeight w:val="281"/>
        </w:trPr>
        <w:tc>
          <w:tcPr>
            <w:tcW w:w="3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6227DBFD" w14:textId="77777777" w:rsidR="00C740F3" w:rsidRPr="00D2339F" w:rsidRDefault="00C740F3" w:rsidP="00C740F3">
            <w:pPr>
              <w:rPr>
                <w:rStyle w:val="Emphasis"/>
                <w:b w:val="0"/>
                <w:bCs/>
              </w:rPr>
            </w:pPr>
            <w:r w:rsidRPr="00D2339F">
              <w:rPr>
                <w:rStyle w:val="Emphasis"/>
                <w:iCs w:val="0"/>
              </w:rPr>
              <w:t>Insights from population level data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F74EB" w14:textId="2CC6E223" w:rsidR="00196DED" w:rsidRPr="006F7B41" w:rsidRDefault="009C145A">
            <w:pPr>
              <w:spacing w:after="0"/>
              <w:rPr>
                <w:sz w:val="20"/>
                <w:szCs w:val="20"/>
              </w:rPr>
            </w:pPr>
            <w:r w:rsidRPr="006F7B41">
              <w:rPr>
                <w:sz w:val="20"/>
                <w:szCs w:val="20"/>
              </w:rPr>
              <w:t xml:space="preserve">Population health, activity and demand and capacity intelligence inform risk assessment, forecasting and targeted interventions. </w:t>
            </w:r>
          </w:p>
        </w:tc>
      </w:tr>
      <w:tr w:rsidR="00C740F3" w14:paraId="65C49DA7" w14:textId="77777777" w:rsidTr="17B2C8A7">
        <w:trPr>
          <w:trHeight w:val="727"/>
        </w:trPr>
        <w:tc>
          <w:tcPr>
            <w:tcW w:w="3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73C0E3C3" w14:textId="77777777" w:rsidR="00C740F3" w:rsidRPr="003D1F74" w:rsidRDefault="00C740F3" w:rsidP="00C740F3">
            <w:pPr>
              <w:rPr>
                <w:rStyle w:val="Emphasis"/>
              </w:rPr>
            </w:pPr>
            <w:bookmarkStart w:id="2" w:name="_Hlk147823490"/>
            <w:bookmarkEnd w:id="1"/>
            <w:r w:rsidRPr="003D1F74">
              <w:rPr>
                <w:rFonts w:cs="Arial"/>
                <w:b/>
              </w:rPr>
              <w:t>ICS Green Plan and the Carbon Net Zero target?</w:t>
            </w:r>
            <w:bookmarkEnd w:id="2"/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EB5E3" w14:textId="38ED7E4A" w:rsidR="00196DED" w:rsidRPr="006F7B41" w:rsidRDefault="009C145A">
            <w:pPr>
              <w:spacing w:after="0"/>
              <w:rPr>
                <w:sz w:val="20"/>
                <w:szCs w:val="20"/>
              </w:rPr>
            </w:pPr>
            <w:r w:rsidRPr="006F7B41">
              <w:rPr>
                <w:sz w:val="20"/>
                <w:szCs w:val="20"/>
              </w:rPr>
              <w:t xml:space="preserve">Care closer to home may reduce avoidable travel and resource use. Material impacts from additional capacity will be managed through organisational Green Plans. </w:t>
            </w:r>
          </w:p>
        </w:tc>
      </w:tr>
      <w:tr w:rsidR="00C740F3" w14:paraId="1C3463AA" w14:textId="77777777" w:rsidTr="17B2C8A7">
        <w:trPr>
          <w:trHeight w:val="727"/>
        </w:trPr>
        <w:tc>
          <w:tcPr>
            <w:tcW w:w="3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14:paraId="42E107DA" w14:textId="77777777" w:rsidR="00C740F3" w:rsidRPr="00856C17" w:rsidRDefault="00C740F3" w:rsidP="00C740F3">
            <w:pPr>
              <w:rPr>
                <w:rStyle w:val="Emphasis"/>
              </w:rPr>
            </w:pPr>
            <w:r w:rsidRPr="00856C17">
              <w:rPr>
                <w:rStyle w:val="Emphasis"/>
              </w:rPr>
              <w:t>Communications and Engagement: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71D85" w14:textId="07BFAE00" w:rsidR="00196DED" w:rsidRPr="006F7B41" w:rsidRDefault="009C145A">
            <w:pPr>
              <w:spacing w:after="0"/>
              <w:rPr>
                <w:sz w:val="20"/>
                <w:szCs w:val="20"/>
              </w:rPr>
            </w:pPr>
            <w:r w:rsidRPr="006F7B41">
              <w:rPr>
                <w:sz w:val="20"/>
                <w:szCs w:val="20"/>
              </w:rPr>
              <w:t xml:space="preserve">Each place will deliver targeted winter communications on vaccination, self-care and service access. Cluster coordination will support common messaging </w:t>
            </w:r>
            <w:proofErr w:type="gramStart"/>
            <w:r w:rsidRPr="006F7B41">
              <w:rPr>
                <w:sz w:val="20"/>
                <w:szCs w:val="20"/>
              </w:rPr>
              <w:t>where</w:t>
            </w:r>
            <w:proofErr w:type="gramEnd"/>
            <w:r w:rsidRPr="006F7B41">
              <w:rPr>
                <w:sz w:val="20"/>
                <w:szCs w:val="20"/>
              </w:rPr>
              <w:t xml:space="preserve"> useful. </w:t>
            </w:r>
          </w:p>
        </w:tc>
      </w:tr>
      <w:tr w:rsidR="00C740F3" w14:paraId="35337377" w14:textId="77777777" w:rsidTr="17B2C8A7">
        <w:trPr>
          <w:trHeight w:val="727"/>
        </w:trPr>
        <w:tc>
          <w:tcPr>
            <w:tcW w:w="3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14:paraId="20E03D43" w14:textId="77777777" w:rsidR="00C740F3" w:rsidRPr="00856C17" w:rsidRDefault="00C740F3" w:rsidP="00C740F3">
            <w:pPr>
              <w:rPr>
                <w:rStyle w:val="Emphasis"/>
              </w:rPr>
            </w:pPr>
            <w:r w:rsidRPr="00856C17">
              <w:rPr>
                <w:rStyle w:val="Emphasis"/>
              </w:rPr>
              <w:t>Author(s):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AC7B4" w14:textId="59B07806" w:rsidR="0005401C" w:rsidRPr="006F7B41" w:rsidRDefault="0005401C">
            <w:pPr>
              <w:spacing w:after="0"/>
              <w:rPr>
                <w:sz w:val="20"/>
                <w:szCs w:val="20"/>
              </w:rPr>
            </w:pPr>
            <w:r w:rsidRPr="006F7B41">
              <w:rPr>
                <w:sz w:val="20"/>
                <w:szCs w:val="20"/>
              </w:rPr>
              <w:t xml:space="preserve">Keith </w:t>
            </w:r>
            <w:r w:rsidR="00014AF7" w:rsidRPr="006F7B41">
              <w:rPr>
                <w:sz w:val="20"/>
                <w:szCs w:val="20"/>
              </w:rPr>
              <w:t>Robertson</w:t>
            </w:r>
            <w:r w:rsidRPr="006F7B41">
              <w:rPr>
                <w:sz w:val="20"/>
                <w:szCs w:val="20"/>
              </w:rPr>
              <w:t xml:space="preserve"> </w:t>
            </w:r>
            <w:r w:rsidR="00014AF7" w:rsidRPr="006F7B41">
              <w:rPr>
                <w:sz w:val="20"/>
                <w:szCs w:val="20"/>
              </w:rPr>
              <w:t>BNSSG Head of System Flow</w:t>
            </w:r>
          </w:p>
          <w:p w14:paraId="5238EC46" w14:textId="46A4194E" w:rsidR="001B7028" w:rsidRPr="006F7B41" w:rsidRDefault="001B7028">
            <w:pPr>
              <w:spacing w:after="0"/>
              <w:rPr>
                <w:sz w:val="20"/>
                <w:szCs w:val="20"/>
              </w:rPr>
            </w:pPr>
            <w:r w:rsidRPr="006F7B41">
              <w:rPr>
                <w:sz w:val="20"/>
                <w:szCs w:val="20"/>
              </w:rPr>
              <w:t xml:space="preserve">Yasmin Bajwa </w:t>
            </w:r>
            <w:r w:rsidR="00B73F35" w:rsidRPr="006F7B41">
              <w:rPr>
                <w:sz w:val="20"/>
                <w:szCs w:val="20"/>
              </w:rPr>
              <w:t>UEC and System Flow Programme Manager</w:t>
            </w:r>
          </w:p>
          <w:p w14:paraId="559AF846" w14:textId="61F95D30" w:rsidR="00196DED" w:rsidRPr="006F7B41" w:rsidRDefault="009C145A">
            <w:pPr>
              <w:spacing w:after="0"/>
              <w:rPr>
                <w:sz w:val="20"/>
                <w:szCs w:val="20"/>
              </w:rPr>
            </w:pPr>
            <w:r w:rsidRPr="006F7B41">
              <w:rPr>
                <w:sz w:val="20"/>
                <w:szCs w:val="20"/>
              </w:rPr>
              <w:t>Richard Carpenter, Associate Director Commissioning - System Resilience, Gloucestershire ICB</w:t>
            </w:r>
            <w:r w:rsidRPr="006F7B41">
              <w:rPr>
                <w:sz w:val="20"/>
                <w:szCs w:val="20"/>
              </w:rPr>
              <w:br/>
            </w:r>
          </w:p>
        </w:tc>
      </w:tr>
      <w:tr w:rsidR="00835E22" w14:paraId="39ACDB4E" w14:textId="77777777" w:rsidTr="17B2C8A7">
        <w:trPr>
          <w:trHeight w:val="727"/>
        </w:trPr>
        <w:tc>
          <w:tcPr>
            <w:tcW w:w="3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14:paraId="11E17480" w14:textId="77777777" w:rsidR="00835E22" w:rsidRPr="00856C17" w:rsidRDefault="00835E22" w:rsidP="00835E22">
            <w:pPr>
              <w:rPr>
                <w:rStyle w:val="Emphasis"/>
              </w:rPr>
            </w:pPr>
            <w:r w:rsidRPr="00856C17">
              <w:rPr>
                <w:rStyle w:val="Emphasis"/>
              </w:rPr>
              <w:t>Sponsoring Director: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079B1" w14:textId="2DB47FCB" w:rsidR="00014AF7" w:rsidRPr="006F7B41" w:rsidRDefault="009C145A">
            <w:pPr>
              <w:spacing w:after="0"/>
              <w:rPr>
                <w:sz w:val="20"/>
                <w:szCs w:val="20"/>
              </w:rPr>
            </w:pPr>
            <w:r w:rsidRPr="006F7B41">
              <w:rPr>
                <w:sz w:val="20"/>
                <w:szCs w:val="20"/>
              </w:rPr>
              <w:t>Caroline Dawe</w:t>
            </w:r>
          </w:p>
          <w:p w14:paraId="65E1B51F" w14:textId="77777777" w:rsidR="003B1A91" w:rsidRPr="006F7B41" w:rsidRDefault="003B1A91" w:rsidP="003B1A91">
            <w:pPr>
              <w:spacing w:after="0"/>
              <w:rPr>
                <w:sz w:val="20"/>
                <w:szCs w:val="20"/>
              </w:rPr>
            </w:pPr>
            <w:r w:rsidRPr="006F7B41">
              <w:rPr>
                <w:sz w:val="20"/>
                <w:szCs w:val="20"/>
              </w:rPr>
              <w:t>Director Strategic Commissioning – Value and Delivery</w:t>
            </w:r>
          </w:p>
          <w:p w14:paraId="1EEE4A4B" w14:textId="77777777" w:rsidR="003B1A91" w:rsidRPr="006F7B41" w:rsidRDefault="003B1A91" w:rsidP="003B1A91">
            <w:pPr>
              <w:spacing w:after="0"/>
              <w:rPr>
                <w:sz w:val="20"/>
                <w:szCs w:val="20"/>
              </w:rPr>
            </w:pPr>
          </w:p>
          <w:p w14:paraId="6B59F4A3" w14:textId="77777777" w:rsidR="003B1A91" w:rsidRPr="006F7B41" w:rsidRDefault="003B1A91" w:rsidP="003B1A91">
            <w:pPr>
              <w:spacing w:after="0"/>
              <w:rPr>
                <w:sz w:val="20"/>
                <w:szCs w:val="20"/>
              </w:rPr>
            </w:pPr>
            <w:r w:rsidRPr="006F7B41">
              <w:rPr>
                <w:sz w:val="20"/>
                <w:szCs w:val="20"/>
              </w:rPr>
              <w:t xml:space="preserve">David Jarrett, </w:t>
            </w:r>
          </w:p>
          <w:p w14:paraId="0FE122D6" w14:textId="750B09EC" w:rsidR="003B1A91" w:rsidRPr="006F7B41" w:rsidRDefault="003B1A91" w:rsidP="003B1A91">
            <w:pPr>
              <w:spacing w:after="0"/>
              <w:rPr>
                <w:sz w:val="20"/>
                <w:szCs w:val="20"/>
              </w:rPr>
            </w:pPr>
            <w:r w:rsidRPr="006F7B41">
              <w:rPr>
                <w:sz w:val="20"/>
                <w:szCs w:val="20"/>
              </w:rPr>
              <w:t>Chief Delivery Officer</w:t>
            </w:r>
          </w:p>
          <w:p w14:paraId="2B941798" w14:textId="77777777" w:rsidR="003B1A91" w:rsidRPr="006F7B41" w:rsidRDefault="003B1A91" w:rsidP="003B1A91">
            <w:pPr>
              <w:spacing w:after="0"/>
              <w:rPr>
                <w:sz w:val="20"/>
                <w:szCs w:val="20"/>
              </w:rPr>
            </w:pPr>
          </w:p>
          <w:p w14:paraId="113F04EE" w14:textId="73E85DD7" w:rsidR="00196DED" w:rsidRPr="006F7B41" w:rsidRDefault="003B1A91">
            <w:pPr>
              <w:spacing w:after="0"/>
              <w:rPr>
                <w:sz w:val="20"/>
                <w:szCs w:val="20"/>
              </w:rPr>
            </w:pPr>
            <w:r w:rsidRPr="006F7B41">
              <w:rPr>
                <w:sz w:val="20"/>
                <w:szCs w:val="20"/>
              </w:rPr>
              <w:t>NHS Gloucestershire and NHS Bristol, North Somerset and South Gloucestershire ICBs</w:t>
            </w:r>
          </w:p>
        </w:tc>
      </w:tr>
    </w:tbl>
    <w:p w14:paraId="376605B2" w14:textId="77777777" w:rsidR="009C145A" w:rsidRDefault="009C145A"/>
    <w:sectPr w:rsidR="009C145A" w:rsidSect="00A04826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9" w:h="16834" w:code="9"/>
      <w:pgMar w:top="1985" w:right="1077" w:bottom="1247" w:left="1077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C5EFD" w14:textId="77777777" w:rsidR="00BA2984" w:rsidRPr="00EF3A62" w:rsidRDefault="00BA2984" w:rsidP="008F7D93">
      <w:r w:rsidRPr="00EF3A62">
        <w:separator/>
      </w:r>
    </w:p>
  </w:endnote>
  <w:endnote w:type="continuationSeparator" w:id="0">
    <w:p w14:paraId="12F5EDBD" w14:textId="77777777" w:rsidR="00BA2984" w:rsidRPr="00EF3A62" w:rsidRDefault="00BA2984" w:rsidP="008F7D93">
      <w:r w:rsidRPr="00EF3A62">
        <w:continuationSeparator/>
      </w:r>
    </w:p>
  </w:endnote>
  <w:endnote w:type="continuationNotice" w:id="1">
    <w:p w14:paraId="5720E58C" w14:textId="77777777" w:rsidR="00BA2984" w:rsidRPr="00EF3A62" w:rsidRDefault="00BA2984" w:rsidP="008F7D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553C9" w14:textId="77777777" w:rsidR="00C46028" w:rsidRPr="00EF3A62" w:rsidRDefault="00C46028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6698450"/>
      <w:docPartObj>
        <w:docPartGallery w:val="Page Numbers (Bottom of Page)"/>
        <w:docPartUnique/>
      </w:docPartObj>
    </w:sdtPr>
    <w:sdtEndPr/>
    <w:sdtContent>
      <w:p w14:paraId="5529F3D4" w14:textId="77777777" w:rsidR="00392DE3" w:rsidRPr="00EF3A62" w:rsidRDefault="00392DE3" w:rsidP="00392DE3">
        <w:pPr>
          <w:pStyle w:val="Footer"/>
          <w:jc w:val="center"/>
        </w:pPr>
      </w:p>
      <w:p w14:paraId="457BED0C" w14:textId="77777777" w:rsidR="003B4734" w:rsidRDefault="00CE3746" w:rsidP="00CE3746">
        <w:pPr>
          <w:pStyle w:val="Footer"/>
          <w:tabs>
            <w:tab w:val="center" w:pos="4874"/>
            <w:tab w:val="right" w:pos="9749"/>
          </w:tabs>
        </w:pPr>
        <w:r>
          <w:tab/>
        </w:r>
        <w:r>
          <w:tab/>
        </w:r>
        <w:r w:rsidR="00392DE3" w:rsidRPr="00EF3A62">
          <w:fldChar w:fldCharType="begin"/>
        </w:r>
        <w:r w:rsidR="00392DE3" w:rsidRPr="00EF3A62">
          <w:instrText xml:space="preserve"> PAGE   \* MERGEFORMAT </w:instrText>
        </w:r>
        <w:r w:rsidR="00392DE3" w:rsidRPr="00EF3A62">
          <w:fldChar w:fldCharType="separate"/>
        </w:r>
        <w:r w:rsidR="00392DE3" w:rsidRPr="00EF3A62">
          <w:t>2</w:t>
        </w:r>
        <w:r w:rsidR="00392DE3" w:rsidRPr="00EF3A62">
          <w:fldChar w:fldCharType="end"/>
        </w:r>
      </w:p>
      <w:p w14:paraId="3E41C7D1" w14:textId="77777777" w:rsidR="003B4734" w:rsidRDefault="003B4734" w:rsidP="00CE3746">
        <w:pPr>
          <w:pStyle w:val="Footer"/>
          <w:tabs>
            <w:tab w:val="center" w:pos="4874"/>
            <w:tab w:val="right" w:pos="9749"/>
          </w:tabs>
        </w:pPr>
      </w:p>
      <w:p w14:paraId="7C9B6A53" w14:textId="77777777" w:rsidR="00392DE3" w:rsidRPr="00EF3A62" w:rsidRDefault="00CE3746" w:rsidP="00CE3746">
        <w:pPr>
          <w:pStyle w:val="Footer"/>
          <w:tabs>
            <w:tab w:val="center" w:pos="4874"/>
            <w:tab w:val="right" w:pos="9749"/>
          </w:tabs>
        </w:pPr>
        <w:r>
          <w:tab/>
        </w:r>
      </w:p>
      <w:p w14:paraId="714AE457" w14:textId="77777777" w:rsidR="00392DE3" w:rsidRPr="00EF3A62" w:rsidRDefault="00BA2984" w:rsidP="004C07D8">
        <w:pPr>
          <w:pStyle w:val="Footer"/>
        </w:pPr>
      </w:p>
    </w:sdtContent>
  </w:sdt>
  <w:p w14:paraId="6126D6EA" w14:textId="77777777" w:rsidR="00C46028" w:rsidRPr="00EF3A62" w:rsidRDefault="00C46028">
    <w:pPr>
      <w:spacing w:after="0" w:line="240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E1D9F" w14:textId="77777777" w:rsidR="001D7CF7" w:rsidRPr="00EF3A62" w:rsidRDefault="0030747B" w:rsidP="001D7CF7">
    <w:pPr>
      <w:jc w:val="center"/>
    </w:pPr>
    <w:r w:rsidRPr="00EF3A62">
      <w:fldChar w:fldCharType="begin"/>
    </w:r>
    <w:r w:rsidRPr="00EF3A62">
      <w:instrText xml:space="preserve"> PAGE   \* MERGEFORMAT </w:instrText>
    </w:r>
    <w:r w:rsidRPr="00EF3A62">
      <w:fldChar w:fldCharType="separate"/>
    </w:r>
    <w:r w:rsidRPr="00EF3A62">
      <w:t>1</w:t>
    </w:r>
    <w:r w:rsidRPr="00EF3A62">
      <w:fldChar w:fldCharType="end"/>
    </w:r>
    <w:r w:rsidR="001D7CF7" w:rsidRPr="00EF3A62">
      <w:fldChar w:fldCharType="begin"/>
    </w:r>
    <w:r w:rsidR="001D7CF7" w:rsidRPr="00EF3A62">
      <w:instrText xml:space="preserve"> PAGE   \* MERGEFORMAT </w:instrText>
    </w:r>
    <w:r w:rsidR="001D7CF7" w:rsidRPr="00EF3A62">
      <w:fldChar w:fldCharType="separate"/>
    </w:r>
    <w:r w:rsidR="001D7CF7" w:rsidRPr="00EF3A62">
      <w:t>1</w:t>
    </w:r>
    <w:r w:rsidR="001D7CF7" w:rsidRPr="00EF3A62">
      <w:fldChar w:fldCharType="end"/>
    </w:r>
  </w:p>
  <w:p w14:paraId="7A531627" w14:textId="77777777" w:rsidR="00C46028" w:rsidRPr="00EF3A62" w:rsidRDefault="00917835" w:rsidP="00041991">
    <w:pPr>
      <w:jc w:val="center"/>
    </w:pPr>
    <w:r w:rsidRPr="00EF3A62">
      <w:rPr>
        <w:noProof/>
      </w:rPr>
      <w:drawing>
        <wp:anchor distT="0" distB="0" distL="114300" distR="114300" simplePos="0" relativeHeight="251658244" behindDoc="0" locked="0" layoutInCell="1" allowOverlap="1" wp14:anchorId="27E64455" wp14:editId="47D84493">
          <wp:simplePos x="0" y="0"/>
          <wp:positionH relativeFrom="page">
            <wp:posOffset>685800</wp:posOffset>
          </wp:positionH>
          <wp:positionV relativeFrom="page">
            <wp:posOffset>11014075</wp:posOffset>
          </wp:positionV>
          <wp:extent cx="7586345" cy="239395"/>
          <wp:effectExtent l="0" t="0" r="0" b="8255"/>
          <wp:wrapSquare wrapText="bothSides"/>
          <wp:docPr id="189466139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V="1">
                    <a:off x="0" y="0"/>
                    <a:ext cx="7586345" cy="239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D1F8F" w:rsidRPr="00EF3A62">
      <w:rPr>
        <w:noProof/>
      </w:rPr>
      <w:drawing>
        <wp:anchor distT="0" distB="0" distL="114300" distR="114300" simplePos="0" relativeHeight="251658243" behindDoc="0" locked="0" layoutInCell="1" allowOverlap="1" wp14:anchorId="53278FCA" wp14:editId="7876C7EF">
          <wp:simplePos x="0" y="0"/>
          <wp:positionH relativeFrom="page">
            <wp:posOffset>-8890</wp:posOffset>
          </wp:positionH>
          <wp:positionV relativeFrom="page">
            <wp:posOffset>10483560</wp:posOffset>
          </wp:positionV>
          <wp:extent cx="7586345" cy="239395"/>
          <wp:effectExtent l="0" t="0" r="0" b="8255"/>
          <wp:wrapSquare wrapText="bothSides"/>
          <wp:docPr id="87911638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V="1">
                    <a:off x="0" y="0"/>
                    <a:ext cx="7586345" cy="239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9B1C1" w14:textId="77777777" w:rsidR="00BA2984" w:rsidRPr="00EF3A62" w:rsidRDefault="00BA2984" w:rsidP="008F7D93">
      <w:r w:rsidRPr="00EF3A62">
        <w:separator/>
      </w:r>
    </w:p>
  </w:footnote>
  <w:footnote w:type="continuationSeparator" w:id="0">
    <w:p w14:paraId="1A9511C0" w14:textId="77777777" w:rsidR="00BA2984" w:rsidRPr="00EF3A62" w:rsidRDefault="00BA2984" w:rsidP="008F7D93">
      <w:r w:rsidRPr="00EF3A62">
        <w:continuationSeparator/>
      </w:r>
    </w:p>
  </w:footnote>
  <w:footnote w:type="continuationNotice" w:id="1">
    <w:p w14:paraId="3CF02E07" w14:textId="77777777" w:rsidR="00BA2984" w:rsidRPr="00EF3A62" w:rsidRDefault="00BA2984" w:rsidP="008F7D9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CFB8B" w14:textId="77777777" w:rsidR="0043401F" w:rsidRPr="00EF3A62" w:rsidRDefault="00A04826">
    <w:pPr>
      <w:pStyle w:val="Header"/>
    </w:pPr>
    <w:r>
      <w:rPr>
        <w:noProof/>
      </w:rPr>
      <w:drawing>
        <wp:anchor distT="0" distB="0" distL="114300" distR="114300" simplePos="0" relativeHeight="251658245" behindDoc="1" locked="0" layoutInCell="1" allowOverlap="1" wp14:anchorId="5157C576" wp14:editId="7ED827C6">
          <wp:simplePos x="0" y="0"/>
          <wp:positionH relativeFrom="page">
            <wp:posOffset>6350</wp:posOffset>
          </wp:positionH>
          <wp:positionV relativeFrom="paragraph">
            <wp:posOffset>257</wp:posOffset>
          </wp:positionV>
          <wp:extent cx="7550774" cy="10680691"/>
          <wp:effectExtent l="0" t="0" r="0" b="6985"/>
          <wp:wrapNone/>
          <wp:docPr id="176239689" name="Picture 1762396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774" cy="106806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05955" w14:textId="77777777" w:rsidR="004203CB" w:rsidRPr="00EF3A62" w:rsidRDefault="002B234B" w:rsidP="008F7D93">
    <w:pPr>
      <w:pStyle w:val="Header"/>
    </w:pPr>
    <w:r w:rsidRPr="00EF3A62">
      <w:rPr>
        <w:noProof/>
      </w:rPr>
      <w:drawing>
        <wp:anchor distT="0" distB="0" distL="114300" distR="114300" simplePos="0" relativeHeight="251658241" behindDoc="0" locked="0" layoutInCell="1" allowOverlap="1" wp14:anchorId="753FAFD1" wp14:editId="6E017979">
          <wp:simplePos x="0" y="0"/>
          <wp:positionH relativeFrom="column">
            <wp:posOffset>0</wp:posOffset>
          </wp:positionH>
          <wp:positionV relativeFrom="paragraph">
            <wp:posOffset>171451</wp:posOffset>
          </wp:positionV>
          <wp:extent cx="1752600" cy="383668"/>
          <wp:effectExtent l="0" t="0" r="0" b="0"/>
          <wp:wrapNone/>
          <wp:docPr id="543892813" name="Picture 4" descr="A black background with blue text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5C1A0F92-DDED-9265-61FA-0DD484E47E5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 descr="A black background with blue text&#10;&#10;Description automatically generated">
                    <a:extLst>
                      <a:ext uri="{FF2B5EF4-FFF2-40B4-BE49-F238E27FC236}">
                        <a16:creationId xmlns:a16="http://schemas.microsoft.com/office/drawing/2014/main" id="{5C1A0F92-DDED-9265-61FA-0DD484E47E5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3836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DAFDFE1" w14:textId="77777777" w:rsidR="004C45E6" w:rsidRPr="00EF3A62" w:rsidRDefault="002B234B" w:rsidP="008F7D93">
    <w:pPr>
      <w:pStyle w:val="Header"/>
    </w:pPr>
    <w:r w:rsidRPr="00EF3A62">
      <w:rPr>
        <w:noProof/>
      </w:rPr>
      <w:drawing>
        <wp:anchor distT="0" distB="0" distL="114300" distR="114300" simplePos="0" relativeHeight="251658242" behindDoc="0" locked="0" layoutInCell="1" allowOverlap="1" wp14:anchorId="2F353B39" wp14:editId="147BD75B">
          <wp:simplePos x="0" y="0"/>
          <wp:positionH relativeFrom="column">
            <wp:posOffset>84438</wp:posOffset>
          </wp:positionH>
          <wp:positionV relativeFrom="paragraph">
            <wp:posOffset>471170</wp:posOffset>
          </wp:positionV>
          <wp:extent cx="6089015" cy="45719"/>
          <wp:effectExtent l="0" t="0" r="0" b="0"/>
          <wp:wrapNone/>
          <wp:docPr id="1811272966" name="Picture 5">
            <a:extLst xmlns:a="http://schemas.openxmlformats.org/drawingml/2006/main">
              <a:ext uri="{FF2B5EF4-FFF2-40B4-BE49-F238E27FC236}">
                <a16:creationId xmlns:a16="http://schemas.microsoft.com/office/drawing/2014/main" id="{78D09F00-20B7-3F85-F8CE-89777230FBE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5">
                    <a:extLst>
                      <a:ext uri="{FF2B5EF4-FFF2-40B4-BE49-F238E27FC236}">
                        <a16:creationId xmlns:a16="http://schemas.microsoft.com/office/drawing/2014/main" id="{78D09F00-20B7-3F85-F8CE-89777230FBE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89015" cy="457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F3A62">
      <w:rPr>
        <w:noProof/>
      </w:rPr>
      <w:drawing>
        <wp:anchor distT="0" distB="0" distL="114300" distR="114300" simplePos="0" relativeHeight="251658240" behindDoc="0" locked="0" layoutInCell="1" allowOverlap="1" wp14:anchorId="7AE242ED" wp14:editId="499E18BC">
          <wp:simplePos x="0" y="0"/>
          <wp:positionH relativeFrom="column">
            <wp:posOffset>5022850</wp:posOffset>
          </wp:positionH>
          <wp:positionV relativeFrom="paragraph">
            <wp:posOffset>8890</wp:posOffset>
          </wp:positionV>
          <wp:extent cx="1066800" cy="353319"/>
          <wp:effectExtent l="0" t="0" r="0" b="8890"/>
          <wp:wrapNone/>
          <wp:docPr id="1952092664" name="Picture 3" descr="A picture containing text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13EA0114-AFC9-EFE9-49C9-3DD10D377A5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 descr="A picture containing text&#10;&#10;Description automatically generated">
                    <a:extLst>
                      <a:ext uri="{FF2B5EF4-FFF2-40B4-BE49-F238E27FC236}">
                        <a16:creationId xmlns:a16="http://schemas.microsoft.com/office/drawing/2014/main" id="{13EA0114-AFC9-EFE9-49C9-3DD10D377A5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3533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B58A0"/>
    <w:multiLevelType w:val="multilevel"/>
    <w:tmpl w:val="5D6A105A"/>
    <w:styleLink w:val="NHSBNSSGBulletList"/>
    <w:lvl w:ilvl="0">
      <w:start w:val="1"/>
      <w:numFmt w:val="bullet"/>
      <w:pStyle w:val="Bullet"/>
      <w:lvlText w:val="–"/>
      <w:lvlJc w:val="left"/>
      <w:pPr>
        <w:tabs>
          <w:tab w:val="num" w:pos="227"/>
        </w:tabs>
        <w:ind w:left="227" w:hanging="227"/>
      </w:pPr>
      <w:rPr>
        <w:rFonts w:ascii="Arial" w:hAnsi="Arial" w:hint="default"/>
        <w:color w:val="075EDB" w:themeColor="accent2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07E50B62"/>
    <w:multiLevelType w:val="multilevel"/>
    <w:tmpl w:val="BDBEC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1A017C"/>
    <w:multiLevelType w:val="hybridMultilevel"/>
    <w:tmpl w:val="A8C03706"/>
    <w:lvl w:ilvl="0" w:tplc="5A8894B2">
      <w:start w:val="1"/>
      <w:numFmt w:val="bullet"/>
      <w:pStyle w:val="Bullets"/>
      <w:lvlText w:val=""/>
      <w:lvlJc w:val="left"/>
      <w:pPr>
        <w:ind w:left="1440" w:hanging="360"/>
      </w:pPr>
      <w:rPr>
        <w:rFonts w:ascii="Symbol" w:hAnsi="Symbol" w:hint="default"/>
        <w:color w:val="1C1F63"/>
        <w:u w:color="1C1F63" w:themeColor="text1"/>
      </w:rPr>
    </w:lvl>
    <w:lvl w:ilvl="1" w:tplc="6256E5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1C1F63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E2C2951"/>
    <w:multiLevelType w:val="multilevel"/>
    <w:tmpl w:val="E43C55A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1.%2"/>
      <w:lvlJc w:val="left"/>
      <w:pPr>
        <w:ind w:left="2487" w:hanging="360"/>
      </w:pPr>
      <w:rPr>
        <w:rFonts w:hint="default"/>
        <w:b w:val="0"/>
        <w:color w:val="auto"/>
      </w:rPr>
    </w:lvl>
    <w:lvl w:ilvl="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  <w:b w:val="0"/>
        <w:color w:val="auto"/>
      </w:rPr>
    </w:lvl>
  </w:abstractNum>
  <w:abstractNum w:abstractNumId="4" w15:restartNumberingAfterBreak="0">
    <w:nsid w:val="31571106"/>
    <w:multiLevelType w:val="hybridMultilevel"/>
    <w:tmpl w:val="70B44C0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968113C"/>
    <w:multiLevelType w:val="hybridMultilevel"/>
    <w:tmpl w:val="BA72421E"/>
    <w:lvl w:ilvl="0" w:tplc="C9322CD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D90000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67C49BE"/>
    <w:multiLevelType w:val="multilevel"/>
    <w:tmpl w:val="A558A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8606BF"/>
    <w:multiLevelType w:val="hybridMultilevel"/>
    <w:tmpl w:val="02189A00"/>
    <w:lvl w:ilvl="0" w:tplc="22E40FD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u w:color="1C1F63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3FC12A4"/>
    <w:multiLevelType w:val="multilevel"/>
    <w:tmpl w:val="66CE6A8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color w:val="auto"/>
      </w:rPr>
    </w:lvl>
    <w:lvl w:ilvl="1">
      <w:start w:val="1"/>
      <w:numFmt w:val="decimal"/>
      <w:lvlText w:val="%1.%2"/>
      <w:lvlJc w:val="left"/>
      <w:pPr>
        <w:ind w:left="2487" w:hanging="360"/>
      </w:pPr>
      <w:rPr>
        <w:rFonts w:hint="default"/>
        <w:b w:val="0"/>
        <w:color w:val="auto"/>
      </w:rPr>
    </w:lvl>
    <w:lvl w:ilvl="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  <w:b w:val="0"/>
        <w:color w:val="auto"/>
      </w:rPr>
    </w:lvl>
  </w:abstractNum>
  <w:abstractNum w:abstractNumId="9" w15:restartNumberingAfterBreak="0">
    <w:nsid w:val="6704549A"/>
    <w:multiLevelType w:val="multilevel"/>
    <w:tmpl w:val="D598D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7334E39"/>
    <w:multiLevelType w:val="multilevel"/>
    <w:tmpl w:val="5E429D9E"/>
    <w:lvl w:ilvl="0">
      <w:start w:val="4"/>
      <w:numFmt w:val="decimal"/>
      <w:lvlText w:val="%1"/>
      <w:lvlJc w:val="left"/>
      <w:pPr>
        <w:ind w:left="470" w:hanging="47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2880" w:hanging="72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5400" w:hanging="108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7560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080" w:hanging="144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2600" w:hanging="180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5120" w:hanging="216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7280" w:hanging="216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19800" w:hanging="2520"/>
      </w:pPr>
      <w:rPr>
        <w:rFonts w:eastAsia="Times New Roman" w:hint="default"/>
      </w:rPr>
    </w:lvl>
  </w:abstractNum>
  <w:abstractNum w:abstractNumId="11" w15:restartNumberingAfterBreak="0">
    <w:nsid w:val="68890B50"/>
    <w:multiLevelType w:val="multilevel"/>
    <w:tmpl w:val="5D6A105A"/>
    <w:numStyleLink w:val="NHSBNSSGBulletList"/>
  </w:abstractNum>
  <w:abstractNum w:abstractNumId="12" w15:restartNumberingAfterBreak="0">
    <w:nsid w:val="70320882"/>
    <w:multiLevelType w:val="hybridMultilevel"/>
    <w:tmpl w:val="27FC6E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831EF2"/>
    <w:multiLevelType w:val="hybridMultilevel"/>
    <w:tmpl w:val="7CC2ADA4"/>
    <w:lvl w:ilvl="0" w:tplc="DB1080B0">
      <w:start w:val="1"/>
      <w:numFmt w:val="decimal"/>
      <w:pStyle w:val="Heading3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0C11EC"/>
    <w:multiLevelType w:val="multilevel"/>
    <w:tmpl w:val="59A445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5" w15:restartNumberingAfterBreak="0">
    <w:nsid w:val="7C731A63"/>
    <w:multiLevelType w:val="multilevel"/>
    <w:tmpl w:val="07B05EC6"/>
    <w:lvl w:ilvl="0">
      <w:start w:val="5"/>
      <w:numFmt w:val="decimal"/>
      <w:lvlText w:val="%1"/>
      <w:lvlJc w:val="left"/>
      <w:pPr>
        <w:ind w:left="470" w:hanging="4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96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0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24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040" w:hanging="2520"/>
      </w:pPr>
      <w:rPr>
        <w:rFonts w:hint="default"/>
      </w:rPr>
    </w:lvl>
  </w:abstractNum>
  <w:abstractNum w:abstractNumId="16" w15:restartNumberingAfterBreak="0">
    <w:nsid w:val="7C8975A1"/>
    <w:multiLevelType w:val="multilevel"/>
    <w:tmpl w:val="FBDCD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3444778">
    <w:abstractNumId w:val="7"/>
  </w:num>
  <w:num w:numId="2" w16cid:durableId="2035573269">
    <w:abstractNumId w:val="2"/>
  </w:num>
  <w:num w:numId="3" w16cid:durableId="491677285">
    <w:abstractNumId w:val="13"/>
  </w:num>
  <w:num w:numId="4" w16cid:durableId="917783890">
    <w:abstractNumId w:val="12"/>
  </w:num>
  <w:num w:numId="5" w16cid:durableId="717438125">
    <w:abstractNumId w:val="5"/>
  </w:num>
  <w:num w:numId="6" w16cid:durableId="1104106355">
    <w:abstractNumId w:val="0"/>
  </w:num>
  <w:num w:numId="7" w16cid:durableId="1141309459">
    <w:abstractNumId w:val="11"/>
  </w:num>
  <w:num w:numId="8" w16cid:durableId="161972566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96004093">
    <w:abstractNumId w:val="13"/>
  </w:num>
  <w:num w:numId="10" w16cid:durableId="197544846">
    <w:abstractNumId w:val="13"/>
    <w:lvlOverride w:ilvl="0">
      <w:startOverride w:val="1"/>
    </w:lvlOverride>
  </w:num>
  <w:num w:numId="11" w16cid:durableId="1728336904">
    <w:abstractNumId w:val="14"/>
  </w:num>
  <w:num w:numId="12" w16cid:durableId="1286043057">
    <w:abstractNumId w:val="16"/>
  </w:num>
  <w:num w:numId="13" w16cid:durableId="1651397057">
    <w:abstractNumId w:val="4"/>
  </w:num>
  <w:num w:numId="14" w16cid:durableId="2102331520">
    <w:abstractNumId w:val="3"/>
  </w:num>
  <w:num w:numId="15" w16cid:durableId="283194359">
    <w:abstractNumId w:val="10"/>
  </w:num>
  <w:num w:numId="16" w16cid:durableId="669910541">
    <w:abstractNumId w:val="6"/>
  </w:num>
  <w:num w:numId="17" w16cid:durableId="1458570755">
    <w:abstractNumId w:val="1"/>
  </w:num>
  <w:num w:numId="18" w16cid:durableId="1115095592">
    <w:abstractNumId w:val="8"/>
  </w:num>
  <w:num w:numId="19" w16cid:durableId="1655720196">
    <w:abstractNumId w:val="9"/>
  </w:num>
  <w:num w:numId="20" w16cid:durableId="68479037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5E6"/>
    <w:rsid w:val="00001256"/>
    <w:rsid w:val="0000527F"/>
    <w:rsid w:val="00006CFF"/>
    <w:rsid w:val="00013023"/>
    <w:rsid w:val="00014AF7"/>
    <w:rsid w:val="00017E9E"/>
    <w:rsid w:val="00024844"/>
    <w:rsid w:val="000334E7"/>
    <w:rsid w:val="0003731C"/>
    <w:rsid w:val="00041991"/>
    <w:rsid w:val="00042107"/>
    <w:rsid w:val="000426B0"/>
    <w:rsid w:val="0005401C"/>
    <w:rsid w:val="000615EE"/>
    <w:rsid w:val="00063F0C"/>
    <w:rsid w:val="00071483"/>
    <w:rsid w:val="00072783"/>
    <w:rsid w:val="00082A01"/>
    <w:rsid w:val="00097A66"/>
    <w:rsid w:val="000B1964"/>
    <w:rsid w:val="000B4C1C"/>
    <w:rsid w:val="000C63B4"/>
    <w:rsid w:val="000D737C"/>
    <w:rsid w:val="000D76C8"/>
    <w:rsid w:val="001037FD"/>
    <w:rsid w:val="00124668"/>
    <w:rsid w:val="0013019F"/>
    <w:rsid w:val="001358EE"/>
    <w:rsid w:val="00136B01"/>
    <w:rsid w:val="001376DA"/>
    <w:rsid w:val="00162280"/>
    <w:rsid w:val="00165120"/>
    <w:rsid w:val="00166BBB"/>
    <w:rsid w:val="00167C5C"/>
    <w:rsid w:val="00167E4A"/>
    <w:rsid w:val="00173DE4"/>
    <w:rsid w:val="00175C38"/>
    <w:rsid w:val="00180936"/>
    <w:rsid w:val="00193E0D"/>
    <w:rsid w:val="001965A2"/>
    <w:rsid w:val="00196DED"/>
    <w:rsid w:val="001A09C8"/>
    <w:rsid w:val="001A3167"/>
    <w:rsid w:val="001A3200"/>
    <w:rsid w:val="001B7028"/>
    <w:rsid w:val="001B7B44"/>
    <w:rsid w:val="001C52F0"/>
    <w:rsid w:val="001D6A2D"/>
    <w:rsid w:val="001D7CF7"/>
    <w:rsid w:val="001F2B6B"/>
    <w:rsid w:val="00202D24"/>
    <w:rsid w:val="0020322C"/>
    <w:rsid w:val="002066AB"/>
    <w:rsid w:val="00222C08"/>
    <w:rsid w:val="002256F7"/>
    <w:rsid w:val="00233A81"/>
    <w:rsid w:val="00236BBD"/>
    <w:rsid w:val="00242141"/>
    <w:rsid w:val="00243351"/>
    <w:rsid w:val="002439F0"/>
    <w:rsid w:val="002513BA"/>
    <w:rsid w:val="0025149E"/>
    <w:rsid w:val="002625EA"/>
    <w:rsid w:val="00263326"/>
    <w:rsid w:val="00264275"/>
    <w:rsid w:val="00264C16"/>
    <w:rsid w:val="00266657"/>
    <w:rsid w:val="002701E2"/>
    <w:rsid w:val="002701F9"/>
    <w:rsid w:val="00271AFE"/>
    <w:rsid w:val="00272238"/>
    <w:rsid w:val="00283C79"/>
    <w:rsid w:val="002A7AEC"/>
    <w:rsid w:val="002B0A35"/>
    <w:rsid w:val="002B234B"/>
    <w:rsid w:val="002B7AB4"/>
    <w:rsid w:val="002C0956"/>
    <w:rsid w:val="002C1C81"/>
    <w:rsid w:val="002C2763"/>
    <w:rsid w:val="002C6F8D"/>
    <w:rsid w:val="002D1779"/>
    <w:rsid w:val="002D5329"/>
    <w:rsid w:val="002D7925"/>
    <w:rsid w:val="002E4668"/>
    <w:rsid w:val="002E4E56"/>
    <w:rsid w:val="002E5511"/>
    <w:rsid w:val="002E60B0"/>
    <w:rsid w:val="002E78BF"/>
    <w:rsid w:val="002E7EB4"/>
    <w:rsid w:val="002F0A54"/>
    <w:rsid w:val="002F1CC5"/>
    <w:rsid w:val="002F243A"/>
    <w:rsid w:val="002F569E"/>
    <w:rsid w:val="00305F1A"/>
    <w:rsid w:val="0030747B"/>
    <w:rsid w:val="003213E5"/>
    <w:rsid w:val="00327BCF"/>
    <w:rsid w:val="00344163"/>
    <w:rsid w:val="0035000D"/>
    <w:rsid w:val="00362423"/>
    <w:rsid w:val="003751DD"/>
    <w:rsid w:val="003840F6"/>
    <w:rsid w:val="003911E2"/>
    <w:rsid w:val="00392DE3"/>
    <w:rsid w:val="00392E58"/>
    <w:rsid w:val="0039457C"/>
    <w:rsid w:val="003A6142"/>
    <w:rsid w:val="003A7CC3"/>
    <w:rsid w:val="003B1A91"/>
    <w:rsid w:val="003B4734"/>
    <w:rsid w:val="003B64BD"/>
    <w:rsid w:val="003D1F74"/>
    <w:rsid w:val="003D2C31"/>
    <w:rsid w:val="003D2E5D"/>
    <w:rsid w:val="003D3372"/>
    <w:rsid w:val="003D3815"/>
    <w:rsid w:val="003D7FCF"/>
    <w:rsid w:val="003E0121"/>
    <w:rsid w:val="003E24A3"/>
    <w:rsid w:val="003E6065"/>
    <w:rsid w:val="003F18EF"/>
    <w:rsid w:val="003F3B2A"/>
    <w:rsid w:val="003F47BF"/>
    <w:rsid w:val="00407183"/>
    <w:rsid w:val="004124B7"/>
    <w:rsid w:val="00413606"/>
    <w:rsid w:val="00415F77"/>
    <w:rsid w:val="004203CB"/>
    <w:rsid w:val="004206FD"/>
    <w:rsid w:val="00420BE3"/>
    <w:rsid w:val="00421E30"/>
    <w:rsid w:val="0042343F"/>
    <w:rsid w:val="0043292E"/>
    <w:rsid w:val="0043401F"/>
    <w:rsid w:val="00440537"/>
    <w:rsid w:val="004478C1"/>
    <w:rsid w:val="00453169"/>
    <w:rsid w:val="0045524A"/>
    <w:rsid w:val="00455C64"/>
    <w:rsid w:val="00457D62"/>
    <w:rsid w:val="0046430D"/>
    <w:rsid w:val="00466BF2"/>
    <w:rsid w:val="00467817"/>
    <w:rsid w:val="004705A4"/>
    <w:rsid w:val="00471291"/>
    <w:rsid w:val="0047703A"/>
    <w:rsid w:val="00477D34"/>
    <w:rsid w:val="004803F3"/>
    <w:rsid w:val="00486F91"/>
    <w:rsid w:val="0049162E"/>
    <w:rsid w:val="004A5EF6"/>
    <w:rsid w:val="004C07D8"/>
    <w:rsid w:val="004C45E6"/>
    <w:rsid w:val="004D0430"/>
    <w:rsid w:val="004E1395"/>
    <w:rsid w:val="004F55EE"/>
    <w:rsid w:val="00503FF4"/>
    <w:rsid w:val="005062CF"/>
    <w:rsid w:val="00515108"/>
    <w:rsid w:val="00524CFA"/>
    <w:rsid w:val="00525E03"/>
    <w:rsid w:val="00536AB2"/>
    <w:rsid w:val="00541C8D"/>
    <w:rsid w:val="00546A68"/>
    <w:rsid w:val="00552EEF"/>
    <w:rsid w:val="005718E7"/>
    <w:rsid w:val="005922A7"/>
    <w:rsid w:val="00594085"/>
    <w:rsid w:val="005A7DB4"/>
    <w:rsid w:val="005B6A92"/>
    <w:rsid w:val="005C11C0"/>
    <w:rsid w:val="005C450C"/>
    <w:rsid w:val="005D265D"/>
    <w:rsid w:val="005D4876"/>
    <w:rsid w:val="006001EA"/>
    <w:rsid w:val="0060055F"/>
    <w:rsid w:val="00606DF2"/>
    <w:rsid w:val="00610383"/>
    <w:rsid w:val="00610607"/>
    <w:rsid w:val="00621DD3"/>
    <w:rsid w:val="00625408"/>
    <w:rsid w:val="00640023"/>
    <w:rsid w:val="00641F03"/>
    <w:rsid w:val="006616E9"/>
    <w:rsid w:val="0066439E"/>
    <w:rsid w:val="006738C0"/>
    <w:rsid w:val="00675DFD"/>
    <w:rsid w:val="006975A9"/>
    <w:rsid w:val="006A5BAB"/>
    <w:rsid w:val="006B19EE"/>
    <w:rsid w:val="006D35DD"/>
    <w:rsid w:val="006D35F1"/>
    <w:rsid w:val="006D47CA"/>
    <w:rsid w:val="006D53D1"/>
    <w:rsid w:val="006D79FC"/>
    <w:rsid w:val="006E79E7"/>
    <w:rsid w:val="006F5746"/>
    <w:rsid w:val="006F7B41"/>
    <w:rsid w:val="00712F58"/>
    <w:rsid w:val="007316B3"/>
    <w:rsid w:val="0073371A"/>
    <w:rsid w:val="00733D06"/>
    <w:rsid w:val="0074157A"/>
    <w:rsid w:val="00744C9D"/>
    <w:rsid w:val="007512D7"/>
    <w:rsid w:val="00763B8A"/>
    <w:rsid w:val="00770540"/>
    <w:rsid w:val="00770865"/>
    <w:rsid w:val="007740FD"/>
    <w:rsid w:val="00781ED0"/>
    <w:rsid w:val="00782F52"/>
    <w:rsid w:val="007A3EF1"/>
    <w:rsid w:val="007A6B5C"/>
    <w:rsid w:val="007A7DDA"/>
    <w:rsid w:val="007B2D41"/>
    <w:rsid w:val="007B7C0D"/>
    <w:rsid w:val="007C0DCF"/>
    <w:rsid w:val="007C5B7E"/>
    <w:rsid w:val="007D044C"/>
    <w:rsid w:val="007D1F8F"/>
    <w:rsid w:val="007D5434"/>
    <w:rsid w:val="007E1896"/>
    <w:rsid w:val="007E5188"/>
    <w:rsid w:val="007E60C0"/>
    <w:rsid w:val="007E6304"/>
    <w:rsid w:val="00800083"/>
    <w:rsid w:val="00800B1A"/>
    <w:rsid w:val="008032A2"/>
    <w:rsid w:val="00804088"/>
    <w:rsid w:val="00806EB4"/>
    <w:rsid w:val="00810D30"/>
    <w:rsid w:val="00816988"/>
    <w:rsid w:val="00821848"/>
    <w:rsid w:val="00835E22"/>
    <w:rsid w:val="00844893"/>
    <w:rsid w:val="00855E68"/>
    <w:rsid w:val="00856C17"/>
    <w:rsid w:val="00856E33"/>
    <w:rsid w:val="00867F20"/>
    <w:rsid w:val="0087189F"/>
    <w:rsid w:val="00873B77"/>
    <w:rsid w:val="008829F6"/>
    <w:rsid w:val="0088492B"/>
    <w:rsid w:val="00894417"/>
    <w:rsid w:val="008966D0"/>
    <w:rsid w:val="00896EEB"/>
    <w:rsid w:val="008A1122"/>
    <w:rsid w:val="008B01BB"/>
    <w:rsid w:val="008B0907"/>
    <w:rsid w:val="008C16D7"/>
    <w:rsid w:val="008D563B"/>
    <w:rsid w:val="008F2014"/>
    <w:rsid w:val="008F24DB"/>
    <w:rsid w:val="008F2ECD"/>
    <w:rsid w:val="008F53AE"/>
    <w:rsid w:val="008F57BA"/>
    <w:rsid w:val="008F7CDF"/>
    <w:rsid w:val="008F7D93"/>
    <w:rsid w:val="009070AE"/>
    <w:rsid w:val="00913B7A"/>
    <w:rsid w:val="00917835"/>
    <w:rsid w:val="00922DF6"/>
    <w:rsid w:val="009252D6"/>
    <w:rsid w:val="00936B42"/>
    <w:rsid w:val="0094483A"/>
    <w:rsid w:val="00946BEE"/>
    <w:rsid w:val="00947B1C"/>
    <w:rsid w:val="00953529"/>
    <w:rsid w:val="00956071"/>
    <w:rsid w:val="00961464"/>
    <w:rsid w:val="009651C7"/>
    <w:rsid w:val="0097576D"/>
    <w:rsid w:val="00991D41"/>
    <w:rsid w:val="009A1042"/>
    <w:rsid w:val="009A23EC"/>
    <w:rsid w:val="009A26C9"/>
    <w:rsid w:val="009B3BE6"/>
    <w:rsid w:val="009B4DEF"/>
    <w:rsid w:val="009C145A"/>
    <w:rsid w:val="009C362A"/>
    <w:rsid w:val="009C581C"/>
    <w:rsid w:val="009E06A6"/>
    <w:rsid w:val="009E58EC"/>
    <w:rsid w:val="009F43D6"/>
    <w:rsid w:val="009F65CF"/>
    <w:rsid w:val="009F79FC"/>
    <w:rsid w:val="00A01356"/>
    <w:rsid w:val="00A02D1C"/>
    <w:rsid w:val="00A032EE"/>
    <w:rsid w:val="00A04826"/>
    <w:rsid w:val="00A06FEE"/>
    <w:rsid w:val="00A12EEC"/>
    <w:rsid w:val="00A13822"/>
    <w:rsid w:val="00A16E37"/>
    <w:rsid w:val="00A2026A"/>
    <w:rsid w:val="00A21F2E"/>
    <w:rsid w:val="00A34273"/>
    <w:rsid w:val="00A37E01"/>
    <w:rsid w:val="00A42915"/>
    <w:rsid w:val="00A4757B"/>
    <w:rsid w:val="00A61ABD"/>
    <w:rsid w:val="00A652B1"/>
    <w:rsid w:val="00A72DF4"/>
    <w:rsid w:val="00A74D58"/>
    <w:rsid w:val="00A85666"/>
    <w:rsid w:val="00A85B06"/>
    <w:rsid w:val="00AA54A0"/>
    <w:rsid w:val="00AA581B"/>
    <w:rsid w:val="00AB274C"/>
    <w:rsid w:val="00AB45A7"/>
    <w:rsid w:val="00AC0DB2"/>
    <w:rsid w:val="00AD3DFD"/>
    <w:rsid w:val="00AE63FA"/>
    <w:rsid w:val="00AE76FA"/>
    <w:rsid w:val="00AE79FA"/>
    <w:rsid w:val="00AF0401"/>
    <w:rsid w:val="00AF2213"/>
    <w:rsid w:val="00AF3F45"/>
    <w:rsid w:val="00AF58CB"/>
    <w:rsid w:val="00B024E8"/>
    <w:rsid w:val="00B053E7"/>
    <w:rsid w:val="00B14528"/>
    <w:rsid w:val="00B44292"/>
    <w:rsid w:val="00B44C60"/>
    <w:rsid w:val="00B525F8"/>
    <w:rsid w:val="00B55ED7"/>
    <w:rsid w:val="00B60EDB"/>
    <w:rsid w:val="00B6559E"/>
    <w:rsid w:val="00B73F35"/>
    <w:rsid w:val="00B74E46"/>
    <w:rsid w:val="00B8190D"/>
    <w:rsid w:val="00B86278"/>
    <w:rsid w:val="00B878C2"/>
    <w:rsid w:val="00B96BC4"/>
    <w:rsid w:val="00BA2984"/>
    <w:rsid w:val="00BA5103"/>
    <w:rsid w:val="00BB54E4"/>
    <w:rsid w:val="00BB6080"/>
    <w:rsid w:val="00BC2928"/>
    <w:rsid w:val="00BC29B9"/>
    <w:rsid w:val="00BC684E"/>
    <w:rsid w:val="00BE21F2"/>
    <w:rsid w:val="00BF59AB"/>
    <w:rsid w:val="00C0090E"/>
    <w:rsid w:val="00C00CD2"/>
    <w:rsid w:val="00C01832"/>
    <w:rsid w:val="00C01B17"/>
    <w:rsid w:val="00C07FE9"/>
    <w:rsid w:val="00C12115"/>
    <w:rsid w:val="00C1261E"/>
    <w:rsid w:val="00C21C2C"/>
    <w:rsid w:val="00C31347"/>
    <w:rsid w:val="00C3246F"/>
    <w:rsid w:val="00C32538"/>
    <w:rsid w:val="00C35D96"/>
    <w:rsid w:val="00C378EB"/>
    <w:rsid w:val="00C40403"/>
    <w:rsid w:val="00C419F6"/>
    <w:rsid w:val="00C451CD"/>
    <w:rsid w:val="00C46028"/>
    <w:rsid w:val="00C51CC1"/>
    <w:rsid w:val="00C5215A"/>
    <w:rsid w:val="00C5223B"/>
    <w:rsid w:val="00C625EF"/>
    <w:rsid w:val="00C6503E"/>
    <w:rsid w:val="00C66C49"/>
    <w:rsid w:val="00C737D3"/>
    <w:rsid w:val="00C740F3"/>
    <w:rsid w:val="00C804CB"/>
    <w:rsid w:val="00C811D7"/>
    <w:rsid w:val="00C9472C"/>
    <w:rsid w:val="00CA0992"/>
    <w:rsid w:val="00CA7957"/>
    <w:rsid w:val="00CB22C9"/>
    <w:rsid w:val="00CB550A"/>
    <w:rsid w:val="00CC69FF"/>
    <w:rsid w:val="00CE0CB6"/>
    <w:rsid w:val="00CE3746"/>
    <w:rsid w:val="00CF223C"/>
    <w:rsid w:val="00CF2E2F"/>
    <w:rsid w:val="00D0200D"/>
    <w:rsid w:val="00D14BBF"/>
    <w:rsid w:val="00D14C4C"/>
    <w:rsid w:val="00D22076"/>
    <w:rsid w:val="00D2339F"/>
    <w:rsid w:val="00D23755"/>
    <w:rsid w:val="00D25B58"/>
    <w:rsid w:val="00D32433"/>
    <w:rsid w:val="00D400A9"/>
    <w:rsid w:val="00D423FB"/>
    <w:rsid w:val="00D42D1E"/>
    <w:rsid w:val="00D45269"/>
    <w:rsid w:val="00D5080B"/>
    <w:rsid w:val="00D518F9"/>
    <w:rsid w:val="00D52B14"/>
    <w:rsid w:val="00D5423D"/>
    <w:rsid w:val="00D55229"/>
    <w:rsid w:val="00D61D50"/>
    <w:rsid w:val="00D6392B"/>
    <w:rsid w:val="00D65515"/>
    <w:rsid w:val="00D70EB7"/>
    <w:rsid w:val="00D7431E"/>
    <w:rsid w:val="00D77307"/>
    <w:rsid w:val="00D77B63"/>
    <w:rsid w:val="00D87232"/>
    <w:rsid w:val="00D9405B"/>
    <w:rsid w:val="00DA4766"/>
    <w:rsid w:val="00DB09EE"/>
    <w:rsid w:val="00DB518D"/>
    <w:rsid w:val="00DD50E9"/>
    <w:rsid w:val="00DE4731"/>
    <w:rsid w:val="00DE5A80"/>
    <w:rsid w:val="00DE704D"/>
    <w:rsid w:val="00DE772B"/>
    <w:rsid w:val="00E037FB"/>
    <w:rsid w:val="00E0693A"/>
    <w:rsid w:val="00E13AD5"/>
    <w:rsid w:val="00E337BA"/>
    <w:rsid w:val="00E4144B"/>
    <w:rsid w:val="00E41A79"/>
    <w:rsid w:val="00E60EC0"/>
    <w:rsid w:val="00E61546"/>
    <w:rsid w:val="00E63F1A"/>
    <w:rsid w:val="00E67B06"/>
    <w:rsid w:val="00E712B8"/>
    <w:rsid w:val="00E82EA5"/>
    <w:rsid w:val="00E83A06"/>
    <w:rsid w:val="00E93150"/>
    <w:rsid w:val="00E94B49"/>
    <w:rsid w:val="00E9688A"/>
    <w:rsid w:val="00EB01A8"/>
    <w:rsid w:val="00EB1483"/>
    <w:rsid w:val="00EB2B3B"/>
    <w:rsid w:val="00EB691A"/>
    <w:rsid w:val="00EC47E4"/>
    <w:rsid w:val="00EC5D7A"/>
    <w:rsid w:val="00ED0D6E"/>
    <w:rsid w:val="00ED4277"/>
    <w:rsid w:val="00EE7378"/>
    <w:rsid w:val="00EF3A62"/>
    <w:rsid w:val="00EF4725"/>
    <w:rsid w:val="00F0444E"/>
    <w:rsid w:val="00F06381"/>
    <w:rsid w:val="00F11B27"/>
    <w:rsid w:val="00F12428"/>
    <w:rsid w:val="00F14B52"/>
    <w:rsid w:val="00F159F6"/>
    <w:rsid w:val="00F371D2"/>
    <w:rsid w:val="00F54E89"/>
    <w:rsid w:val="00F56A74"/>
    <w:rsid w:val="00F572BF"/>
    <w:rsid w:val="00F601C9"/>
    <w:rsid w:val="00F60318"/>
    <w:rsid w:val="00F738D8"/>
    <w:rsid w:val="00F82749"/>
    <w:rsid w:val="00F84486"/>
    <w:rsid w:val="00F85555"/>
    <w:rsid w:val="00F94417"/>
    <w:rsid w:val="00FA2EB3"/>
    <w:rsid w:val="00FA3427"/>
    <w:rsid w:val="00FA3713"/>
    <w:rsid w:val="00FD08E7"/>
    <w:rsid w:val="00FD34FD"/>
    <w:rsid w:val="00FD38B1"/>
    <w:rsid w:val="00FF27BD"/>
    <w:rsid w:val="0E6A7024"/>
    <w:rsid w:val="118DD4A0"/>
    <w:rsid w:val="17B2C8A7"/>
    <w:rsid w:val="2258F426"/>
    <w:rsid w:val="286A55C6"/>
    <w:rsid w:val="28CDCB61"/>
    <w:rsid w:val="51E6179B"/>
    <w:rsid w:val="5A715453"/>
    <w:rsid w:val="63FA52FC"/>
    <w:rsid w:val="7D4C7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B5FB8A"/>
  <w15:chartTrackingRefBased/>
  <w15:docId w15:val="{2C85D69F-C16C-4219-A070-1261B82CA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0" w:qFormat="1"/>
    <w:lsdException w:name="heading 2" w:semiHidden="1" w:uiPriority="0" w:qFormat="1"/>
    <w:lsdException w:name="heading 3" w:semiHidden="1" w:uiPriority="0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locked="1" w:uiPriority="42"/>
    <w:lsdException w:name="Plain Table 3" w:uiPriority="43"/>
    <w:lsdException w:name="Plain Table 4" w:locked="1" w:uiPriority="44"/>
    <w:lsdException w:name="Plain Table 5" w:locked="1" w:uiPriority="45"/>
    <w:lsdException w:name="Grid Table Light" w:locked="1" w:uiPriority="40"/>
    <w:lsdException w:name="Grid Table 1 Light" w:uiPriority="46"/>
    <w:lsdException w:name="Grid Table 2" w:locked="1" w:uiPriority="47"/>
    <w:lsdException w:name="Grid Table 3" w:locked="1" w:uiPriority="48"/>
    <w:lsdException w:name="Grid Table 4" w:uiPriority="49"/>
    <w:lsdException w:name="Grid Table 5 Dark" w:locked="1" w:uiPriority="50"/>
    <w:lsdException w:name="Grid Table 6 Colorful" w:locked="1" w:uiPriority="51"/>
    <w:lsdException w:name="Grid Table 7 Colorful" w:locked="1" w:uiPriority="52"/>
    <w:lsdException w:name="Grid Table 1 Light Accent 1" w:locked="1" w:uiPriority="46"/>
    <w:lsdException w:name="Grid Table 2 Accent 1" w:locked="1" w:uiPriority="47"/>
    <w:lsdException w:name="Grid Table 3 Accent 1" w:locked="1" w:uiPriority="48"/>
    <w:lsdException w:name="Grid Table 4 Accent 1" w:locked="1" w:uiPriority="49"/>
    <w:lsdException w:name="Grid Table 5 Dark Accent 1" w:locked="1" w:uiPriority="50"/>
    <w:lsdException w:name="Grid Table 6 Colorful Accent 1" w:locked="1" w:uiPriority="51"/>
    <w:lsdException w:name="Grid Table 7 Colorful Accent 1" w:locked="1" w:uiPriority="52"/>
    <w:lsdException w:name="Grid Table 1 Light Accent 2" w:locked="1" w:uiPriority="46"/>
    <w:lsdException w:name="Grid Table 2 Accent 2" w:locked="1" w:uiPriority="47"/>
    <w:lsdException w:name="Grid Table 3 Accent 2" w:locked="1" w:uiPriority="48"/>
    <w:lsdException w:name="Grid Table 4 Accent 2" w:locked="1" w:uiPriority="49"/>
    <w:lsdException w:name="Grid Table 5 Dark Accent 2" w:locked="1" w:uiPriority="50"/>
    <w:lsdException w:name="Grid Table 6 Colorful Accent 2" w:locked="1" w:uiPriority="51"/>
    <w:lsdException w:name="Grid Table 7 Colorful Accent 2" w:locked="1" w:uiPriority="52"/>
    <w:lsdException w:name="Grid Table 1 Light Accent 3" w:locked="1" w:uiPriority="46"/>
    <w:lsdException w:name="Grid Table 2 Accent 3" w:locked="1" w:uiPriority="47"/>
    <w:lsdException w:name="Grid Table 3 Accent 3" w:locked="1" w:uiPriority="48"/>
    <w:lsdException w:name="Grid Table 4 Accent 3" w:locked="1" w:uiPriority="49"/>
    <w:lsdException w:name="Grid Table 5 Dark Accent 3" w:locked="1" w:uiPriority="50"/>
    <w:lsdException w:name="Grid Table 6 Colorful Accent 3" w:locked="1" w:uiPriority="51"/>
    <w:lsdException w:name="Grid Table 7 Colorful Accent 3" w:locked="1" w:uiPriority="52"/>
    <w:lsdException w:name="Grid Table 1 Light Accent 4" w:locked="1" w:uiPriority="46"/>
    <w:lsdException w:name="Grid Table 2 Accent 4" w:locked="1" w:uiPriority="47"/>
    <w:lsdException w:name="Grid Table 3 Accent 4" w:locked="1" w:uiPriority="48"/>
    <w:lsdException w:name="Grid Table 4 Accent 4" w:locked="1" w:uiPriority="49"/>
    <w:lsdException w:name="Grid Table 5 Dark Accent 4" w:locked="1" w:uiPriority="50"/>
    <w:lsdException w:name="Grid Table 6 Colorful Accent 4" w:locked="1" w:uiPriority="51"/>
    <w:lsdException w:name="Grid Table 7 Colorful Accent 4" w:locked="1" w:uiPriority="52"/>
    <w:lsdException w:name="Grid Table 1 Light Accent 5" w:locked="1" w:uiPriority="46"/>
    <w:lsdException w:name="Grid Table 2 Accent 5" w:locked="1" w:uiPriority="47"/>
    <w:lsdException w:name="Grid Table 3 Accent 5" w:locked="1" w:uiPriority="48"/>
    <w:lsdException w:name="Grid Table 4 Accent 5" w:locked="1" w:uiPriority="49"/>
    <w:lsdException w:name="Grid Table 5 Dark Accent 5" w:locked="1" w:uiPriority="50"/>
    <w:lsdException w:name="Grid Table 6 Colorful Accent 5" w:locked="1" w:uiPriority="51"/>
    <w:lsdException w:name="Grid Table 7 Colorful Accent 5" w:locked="1" w:uiPriority="52"/>
    <w:lsdException w:name="Grid Table 1 Light Accent 6" w:locked="1" w:uiPriority="46"/>
    <w:lsdException w:name="Grid Table 2 Accent 6" w:locked="1" w:uiPriority="47"/>
    <w:lsdException w:name="Grid Table 3 Accent 6" w:locked="1" w:uiPriority="48"/>
    <w:lsdException w:name="Grid Table 4 Accent 6" w:locked="1" w:uiPriority="49"/>
    <w:lsdException w:name="Grid Table 5 Dark Accent 6" w:locked="1" w:uiPriority="50"/>
    <w:lsdException w:name="Grid Table 6 Colorful Accent 6" w:locked="1" w:uiPriority="51"/>
    <w:lsdException w:name="Grid Table 7 Colorful Accent 6" w:locked="1" w:uiPriority="52"/>
    <w:lsdException w:name="List Table 1 Light" w:uiPriority="46"/>
    <w:lsdException w:name="List Table 2" w:locked="1" w:uiPriority="47"/>
    <w:lsdException w:name="List Table 3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2513BA"/>
    <w:pPr>
      <w:spacing w:after="240" w:line="240" w:lineRule="atLeast"/>
    </w:pPr>
    <w:rPr>
      <w:rFonts w:ascii="Arial" w:hAnsi="Arial"/>
      <w:sz w:val="24"/>
      <w:lang w:val="en-GB"/>
    </w:rPr>
  </w:style>
  <w:style w:type="paragraph" w:styleId="Heading1">
    <w:name w:val="heading 1"/>
    <w:basedOn w:val="Title"/>
    <w:next w:val="Normal"/>
    <w:link w:val="Heading1Char"/>
    <w:uiPriority w:val="2"/>
    <w:qFormat/>
    <w:rsid w:val="000426B0"/>
    <w:pPr>
      <w:spacing w:after="300"/>
      <w:outlineLvl w:val="0"/>
    </w:pPr>
    <w:rPr>
      <w:rFonts w:asciiTheme="majorHAnsi" w:hAnsiTheme="majorHAnsi"/>
      <w:b/>
      <w:color w:val="1C1F63" w:themeColor="accent3"/>
      <w:spacing w:val="0"/>
      <w:sz w:val="48"/>
      <w:szCs w:val="52"/>
    </w:rPr>
  </w:style>
  <w:style w:type="paragraph" w:styleId="Heading2">
    <w:name w:val="heading 2"/>
    <w:basedOn w:val="Normal"/>
    <w:next w:val="Normal"/>
    <w:link w:val="Heading2Char"/>
    <w:uiPriority w:val="2"/>
    <w:qFormat/>
    <w:rsid w:val="006616E9"/>
    <w:pPr>
      <w:spacing w:after="120" w:line="320" w:lineRule="atLeast"/>
      <w:outlineLvl w:val="1"/>
    </w:pPr>
    <w:rPr>
      <w:rFonts w:asciiTheme="majorHAnsi" w:eastAsia="Times New Roman" w:hAnsiTheme="majorHAnsi" w:cstheme="majorHAnsi"/>
      <w:b/>
      <w:bCs/>
      <w:color w:val="1C1F63" w:themeColor="text1"/>
      <w:sz w:val="36"/>
      <w:szCs w:val="36"/>
    </w:rPr>
  </w:style>
  <w:style w:type="paragraph" w:styleId="Heading3">
    <w:name w:val="heading 3"/>
    <w:aliases w:val="Headings (numbered)"/>
    <w:basedOn w:val="Normal"/>
    <w:next w:val="Normal"/>
    <w:link w:val="Heading3Char"/>
    <w:uiPriority w:val="2"/>
    <w:qFormat/>
    <w:rsid w:val="000426B0"/>
    <w:pPr>
      <w:numPr>
        <w:numId w:val="3"/>
      </w:numPr>
      <w:spacing w:before="280" w:after="0" w:line="276" w:lineRule="auto"/>
      <w:outlineLvl w:val="2"/>
    </w:pPr>
    <w:rPr>
      <w:rFonts w:asciiTheme="majorHAnsi" w:eastAsia="Times New Roman" w:hAnsiTheme="majorHAnsi"/>
      <w:b/>
      <w:color w:val="1C1F63" w:themeColor="accent3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C45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53AE"/>
    <w:rPr>
      <w:rFonts w:ascii="Arial" w:hAnsi="Arial"/>
      <w:color w:val="1C1F63" w:themeColor="text1"/>
      <w:sz w:val="24"/>
    </w:rPr>
  </w:style>
  <w:style w:type="paragraph" w:styleId="Footer">
    <w:name w:val="footer"/>
    <w:basedOn w:val="Normal"/>
    <w:link w:val="FooterChar"/>
    <w:uiPriority w:val="99"/>
    <w:semiHidden/>
    <w:rsid w:val="006E79E7"/>
    <w:pPr>
      <w:tabs>
        <w:tab w:val="center" w:pos="4680"/>
        <w:tab w:val="right" w:pos="9360"/>
      </w:tabs>
      <w:spacing w:after="0" w:line="240" w:lineRule="auto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A34273"/>
    <w:rPr>
      <w:rFonts w:ascii="Arial" w:hAnsi="Arial"/>
      <w:sz w:val="20"/>
    </w:rPr>
  </w:style>
  <w:style w:type="character" w:styleId="CommentReference">
    <w:name w:val="annotation reference"/>
    <w:basedOn w:val="DefaultParagraphFont"/>
    <w:uiPriority w:val="99"/>
    <w:semiHidden/>
    <w:rsid w:val="00782F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782F5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53AE"/>
    <w:rPr>
      <w:rFonts w:ascii="Arial" w:hAnsi="Arial"/>
      <w:color w:val="1C1F63" w:themeColor="text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782F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53AE"/>
    <w:rPr>
      <w:rFonts w:ascii="Arial" w:hAnsi="Arial"/>
      <w:b/>
      <w:bCs/>
      <w:color w:val="1C1F63" w:themeColor="text1"/>
      <w:sz w:val="20"/>
      <w:szCs w:val="20"/>
    </w:rPr>
  </w:style>
  <w:style w:type="character" w:styleId="Emphasis">
    <w:name w:val="Emphasis"/>
    <w:basedOn w:val="DefaultParagraphFont"/>
    <w:uiPriority w:val="3"/>
    <w:qFormat/>
    <w:rsid w:val="0000527F"/>
    <w:rPr>
      <w:rFonts w:ascii="Arial" w:hAnsi="Arial"/>
      <w:b/>
      <w:i w:val="0"/>
      <w:iCs/>
      <w:sz w:val="24"/>
    </w:rPr>
  </w:style>
  <w:style w:type="paragraph" w:styleId="Title">
    <w:name w:val="Title"/>
    <w:basedOn w:val="Normal"/>
    <w:next w:val="Normal"/>
    <w:link w:val="TitleChar"/>
    <w:qFormat/>
    <w:rsid w:val="00F06381"/>
    <w:pPr>
      <w:spacing w:after="0" w:line="240" w:lineRule="auto"/>
      <w:contextualSpacing/>
    </w:pPr>
    <w:rPr>
      <w:rFonts w:ascii="Arial Black" w:eastAsiaTheme="majorEastAsia" w:hAnsi="Arial Black" w:cstheme="majorBidi"/>
      <w:color w:val="1C1F63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0426B0"/>
    <w:rPr>
      <w:rFonts w:ascii="Arial Black" w:eastAsiaTheme="majorEastAsia" w:hAnsi="Arial Black" w:cstheme="majorBidi"/>
      <w:color w:val="1C1F63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"/>
    <w:qFormat/>
    <w:rsid w:val="00233A81"/>
    <w:pPr>
      <w:numPr>
        <w:ilvl w:val="1"/>
      </w:numPr>
    </w:pPr>
    <w:rPr>
      <w:rFonts w:ascii="Arial Black" w:eastAsiaTheme="minorEastAsia" w:hAnsi="Arial Black"/>
      <w:color w:val="1C1F63"/>
    </w:rPr>
  </w:style>
  <w:style w:type="character" w:customStyle="1" w:styleId="SubtitleChar">
    <w:name w:val="Subtitle Char"/>
    <w:basedOn w:val="DefaultParagraphFont"/>
    <w:link w:val="Subtitle"/>
    <w:uiPriority w:val="1"/>
    <w:rsid w:val="00233A81"/>
    <w:rPr>
      <w:rFonts w:ascii="Arial Black" w:eastAsiaTheme="minorEastAsia" w:hAnsi="Arial Black"/>
      <w:color w:val="1C1F63"/>
      <w:sz w:val="24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413606"/>
    <w:pPr>
      <w:ind w:left="720"/>
      <w:contextualSpacing/>
    </w:pPr>
  </w:style>
  <w:style w:type="paragraph" w:customStyle="1" w:styleId="Bullets">
    <w:name w:val="Bullets"/>
    <w:basedOn w:val="ListParagraph"/>
    <w:uiPriority w:val="3"/>
    <w:qFormat/>
    <w:rsid w:val="00F371D2"/>
    <w:pPr>
      <w:numPr>
        <w:numId w:val="2"/>
      </w:numPr>
      <w:ind w:left="1077" w:hanging="357"/>
    </w:pPr>
  </w:style>
  <w:style w:type="table" w:styleId="TableGrid">
    <w:name w:val="Table Grid"/>
    <w:basedOn w:val="TableNormal"/>
    <w:uiPriority w:val="59"/>
    <w:rsid w:val="00AE79FA"/>
    <w:pPr>
      <w:spacing w:after="0" w:line="240" w:lineRule="auto"/>
    </w:pPr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">
    <w:name w:val="Grid Table 4"/>
    <w:basedOn w:val="TableNormal"/>
    <w:uiPriority w:val="49"/>
    <w:rsid w:val="00DD50E9"/>
    <w:pPr>
      <w:spacing w:after="0" w:line="240" w:lineRule="auto"/>
    </w:pPr>
    <w:rPr>
      <w:sz w:val="24"/>
    </w:rPr>
    <w:tblPr>
      <w:tblStyleRowBandSize w:val="1"/>
      <w:tblStyleColBandSize w:val="1"/>
      <w:tblBorders>
        <w:top w:val="single" w:sz="4" w:space="0" w:color="4B50CC" w:themeColor="text1" w:themeTint="99"/>
        <w:left w:val="single" w:sz="4" w:space="0" w:color="4B50CC" w:themeColor="text1" w:themeTint="99"/>
        <w:bottom w:val="single" w:sz="4" w:space="0" w:color="4B50CC" w:themeColor="text1" w:themeTint="99"/>
        <w:right w:val="single" w:sz="4" w:space="0" w:color="4B50CC" w:themeColor="text1" w:themeTint="99"/>
        <w:insideH w:val="single" w:sz="4" w:space="0" w:color="4B50CC" w:themeColor="text1" w:themeTint="99"/>
        <w:insideV w:val="single" w:sz="4" w:space="0" w:color="4B50CC" w:themeColor="text1" w:themeTint="99"/>
      </w:tblBorders>
    </w:tblPr>
    <w:tcPr>
      <w:shd w:val="clear" w:color="auto" w:fill="auto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C1F63" w:themeColor="text1"/>
          <w:left w:val="single" w:sz="4" w:space="0" w:color="1C1F63" w:themeColor="text1"/>
          <w:bottom w:val="single" w:sz="4" w:space="0" w:color="1C1F63" w:themeColor="text1"/>
          <w:right w:val="single" w:sz="4" w:space="0" w:color="1C1F63" w:themeColor="text1"/>
          <w:insideH w:val="nil"/>
          <w:insideV w:val="nil"/>
        </w:tcBorders>
        <w:shd w:val="clear" w:color="auto" w:fill="1C1F63" w:themeFill="text1"/>
      </w:tcPr>
    </w:tblStylePr>
    <w:tblStylePr w:type="lastRow">
      <w:rPr>
        <w:b/>
        <w:bCs/>
      </w:rPr>
      <w:tblPr/>
      <w:tcPr>
        <w:tcBorders>
          <w:top w:val="double" w:sz="4" w:space="0" w:color="1C1F63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C4EE" w:themeFill="text1" w:themeFillTint="33"/>
      </w:tcPr>
    </w:tblStylePr>
    <w:tblStylePr w:type="band1Horz">
      <w:tblPr/>
      <w:tcPr>
        <w:shd w:val="clear" w:color="auto" w:fill="C3C4EE" w:themeFill="text1" w:themeFillTint="33"/>
      </w:tcPr>
    </w:tblStylePr>
    <w:tblStylePr w:type="band2Horz">
      <w:tblPr/>
      <w:tcPr>
        <w:shd w:val="clear" w:color="auto" w:fill="FFFFFF" w:themeFill="background1"/>
      </w:tcPr>
    </w:tblStylePr>
  </w:style>
  <w:style w:type="table" w:styleId="GridTable4-Accent1">
    <w:name w:val="Grid Table 4 Accent 1"/>
    <w:basedOn w:val="TableNormal"/>
    <w:uiPriority w:val="49"/>
    <w:locked/>
    <w:rsid w:val="00816988"/>
    <w:pPr>
      <w:spacing w:after="0" w:line="240" w:lineRule="auto"/>
    </w:pPr>
    <w:tblPr>
      <w:tblStyleRowBandSize w:val="1"/>
      <w:tblStyleColBandSize w:val="1"/>
      <w:tblBorders>
        <w:top w:val="single" w:sz="4" w:space="0" w:color="4B50CC" w:themeColor="accent1" w:themeTint="99"/>
        <w:left w:val="single" w:sz="4" w:space="0" w:color="4B50CC" w:themeColor="accent1" w:themeTint="99"/>
        <w:bottom w:val="single" w:sz="4" w:space="0" w:color="4B50CC" w:themeColor="accent1" w:themeTint="99"/>
        <w:right w:val="single" w:sz="4" w:space="0" w:color="4B50CC" w:themeColor="accent1" w:themeTint="99"/>
        <w:insideH w:val="single" w:sz="4" w:space="0" w:color="4B50CC" w:themeColor="accent1" w:themeTint="99"/>
        <w:insideV w:val="single" w:sz="4" w:space="0" w:color="4B50C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C1F63" w:themeColor="accent1"/>
          <w:left w:val="single" w:sz="4" w:space="0" w:color="1C1F63" w:themeColor="accent1"/>
          <w:bottom w:val="single" w:sz="4" w:space="0" w:color="1C1F63" w:themeColor="accent1"/>
          <w:right w:val="single" w:sz="4" w:space="0" w:color="1C1F63" w:themeColor="accent1"/>
          <w:insideH w:val="nil"/>
          <w:insideV w:val="nil"/>
        </w:tcBorders>
        <w:shd w:val="clear" w:color="auto" w:fill="1C1F63" w:themeFill="accent1"/>
      </w:tcPr>
    </w:tblStylePr>
    <w:tblStylePr w:type="lastRow">
      <w:rPr>
        <w:b/>
        <w:bCs/>
      </w:rPr>
      <w:tblPr/>
      <w:tcPr>
        <w:tcBorders>
          <w:top w:val="double" w:sz="4" w:space="0" w:color="1C1F6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C4EE" w:themeFill="accent1" w:themeFillTint="33"/>
      </w:tcPr>
    </w:tblStylePr>
    <w:tblStylePr w:type="band1Horz">
      <w:tblPr/>
      <w:tcPr>
        <w:shd w:val="clear" w:color="auto" w:fill="C3C4EE" w:themeFill="accent1" w:themeFillTint="33"/>
      </w:tcPr>
    </w:tblStylePr>
  </w:style>
  <w:style w:type="table" w:styleId="TableGridLight">
    <w:name w:val="Grid Table Light"/>
    <w:basedOn w:val="TableNormal"/>
    <w:uiPriority w:val="40"/>
    <w:locked/>
    <w:rsid w:val="00AE79FA"/>
    <w:pPr>
      <w:spacing w:after="0" w:line="240" w:lineRule="auto"/>
    </w:pPr>
    <w:rPr>
      <w:sz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AE79FA"/>
    <w:pPr>
      <w:spacing w:after="0" w:line="240" w:lineRule="auto"/>
    </w:pPr>
    <w:rPr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locked/>
    <w:rsid w:val="00AE79FA"/>
    <w:pPr>
      <w:spacing w:after="0" w:line="240" w:lineRule="auto"/>
    </w:pPr>
    <w:rPr>
      <w:sz w:val="24"/>
    </w:rPr>
    <w:tblPr>
      <w:tblStyleRowBandSize w:val="1"/>
      <w:tblStyleColBandSize w:val="1"/>
      <w:tblBorders>
        <w:top w:val="single" w:sz="4" w:space="0" w:color="696DD4" w:themeColor="text1" w:themeTint="80"/>
        <w:bottom w:val="single" w:sz="4" w:space="0" w:color="696DD4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696DD4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696DD4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696DD4" w:themeColor="text1" w:themeTint="80"/>
          <w:right w:val="single" w:sz="4" w:space="0" w:color="696DD4" w:themeColor="text1" w:themeTint="80"/>
        </w:tcBorders>
      </w:tcPr>
    </w:tblStylePr>
    <w:tblStylePr w:type="band2Vert">
      <w:tblPr/>
      <w:tcPr>
        <w:tcBorders>
          <w:left w:val="single" w:sz="4" w:space="0" w:color="696DD4" w:themeColor="text1" w:themeTint="80"/>
          <w:right w:val="single" w:sz="4" w:space="0" w:color="696DD4" w:themeColor="text1" w:themeTint="80"/>
        </w:tcBorders>
      </w:tcPr>
    </w:tblStylePr>
    <w:tblStylePr w:type="band1Horz">
      <w:tblPr/>
      <w:tcPr>
        <w:tcBorders>
          <w:top w:val="single" w:sz="4" w:space="0" w:color="696DD4" w:themeColor="text1" w:themeTint="80"/>
          <w:bottom w:val="single" w:sz="4" w:space="0" w:color="696DD4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E79FA"/>
    <w:pPr>
      <w:spacing w:after="0" w:line="240" w:lineRule="auto"/>
    </w:pPr>
    <w:rPr>
      <w:sz w:val="24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696DD4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696DD4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locked/>
    <w:rsid w:val="00AE79FA"/>
    <w:pPr>
      <w:spacing w:after="0" w:line="240" w:lineRule="auto"/>
    </w:pPr>
    <w:rPr>
      <w:sz w:val="24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locked/>
    <w:rsid w:val="00AE79FA"/>
    <w:pPr>
      <w:spacing w:after="0" w:line="240" w:lineRule="auto"/>
    </w:pPr>
    <w:rPr>
      <w:sz w:val="24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96DD4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96DD4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96DD4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96DD4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AE79FA"/>
    <w:pPr>
      <w:spacing w:after="0" w:line="240" w:lineRule="auto"/>
    </w:pPr>
    <w:rPr>
      <w:sz w:val="24"/>
    </w:rPr>
    <w:tblPr>
      <w:tblStyleRowBandSize w:val="1"/>
      <w:tblStyleColBandSize w:val="1"/>
      <w:tblBorders>
        <w:top w:val="single" w:sz="4" w:space="0" w:color="878ADD" w:themeColor="text1" w:themeTint="66"/>
        <w:left w:val="single" w:sz="4" w:space="0" w:color="878ADD" w:themeColor="text1" w:themeTint="66"/>
        <w:bottom w:val="single" w:sz="4" w:space="0" w:color="878ADD" w:themeColor="text1" w:themeTint="66"/>
        <w:right w:val="single" w:sz="4" w:space="0" w:color="878ADD" w:themeColor="text1" w:themeTint="66"/>
        <w:insideH w:val="single" w:sz="4" w:space="0" w:color="878ADD" w:themeColor="text1" w:themeTint="66"/>
        <w:insideV w:val="single" w:sz="4" w:space="0" w:color="878ADD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4B50CC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B50C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locked/>
    <w:rsid w:val="00AE79FA"/>
    <w:pPr>
      <w:spacing w:after="0" w:line="240" w:lineRule="auto"/>
    </w:pPr>
    <w:rPr>
      <w:sz w:val="24"/>
    </w:rPr>
    <w:tblPr>
      <w:tblStyleRowBandSize w:val="1"/>
      <w:tblStyleColBandSize w:val="1"/>
      <w:tblBorders>
        <w:top w:val="single" w:sz="4" w:space="0" w:color="878ADD" w:themeColor="accent1" w:themeTint="66"/>
        <w:left w:val="single" w:sz="4" w:space="0" w:color="878ADD" w:themeColor="accent1" w:themeTint="66"/>
        <w:bottom w:val="single" w:sz="4" w:space="0" w:color="878ADD" w:themeColor="accent1" w:themeTint="66"/>
        <w:right w:val="single" w:sz="4" w:space="0" w:color="878ADD" w:themeColor="accent1" w:themeTint="66"/>
        <w:insideH w:val="single" w:sz="4" w:space="0" w:color="878ADD" w:themeColor="accent1" w:themeTint="66"/>
        <w:insideV w:val="single" w:sz="4" w:space="0" w:color="878ADD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B50C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B50C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locked/>
    <w:rsid w:val="00AE79FA"/>
    <w:pPr>
      <w:spacing w:after="0" w:line="240" w:lineRule="auto"/>
    </w:pPr>
    <w:rPr>
      <w:sz w:val="24"/>
    </w:rPr>
    <w:tblPr>
      <w:tblStyleRowBandSize w:val="1"/>
      <w:tblStyleColBandSize w:val="1"/>
      <w:tblBorders>
        <w:top w:val="single" w:sz="4" w:space="0" w:color="90BCFB" w:themeColor="accent2" w:themeTint="66"/>
        <w:left w:val="single" w:sz="4" w:space="0" w:color="90BCFB" w:themeColor="accent2" w:themeTint="66"/>
        <w:bottom w:val="single" w:sz="4" w:space="0" w:color="90BCFB" w:themeColor="accent2" w:themeTint="66"/>
        <w:right w:val="single" w:sz="4" w:space="0" w:color="90BCFB" w:themeColor="accent2" w:themeTint="66"/>
        <w:insideH w:val="single" w:sz="4" w:space="0" w:color="90BCFB" w:themeColor="accent2" w:themeTint="66"/>
        <w:insideV w:val="single" w:sz="4" w:space="0" w:color="90BCFB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599AF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99AF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3">
    <w:name w:val="List Table 3"/>
    <w:basedOn w:val="TableNormal"/>
    <w:uiPriority w:val="48"/>
    <w:rsid w:val="00A85B06"/>
    <w:pPr>
      <w:spacing w:after="0" w:line="240" w:lineRule="auto"/>
    </w:pPr>
    <w:tblPr>
      <w:tblStyleRowBandSize w:val="1"/>
      <w:tblStyleColBandSize w:val="1"/>
      <w:tblBorders>
        <w:top w:val="single" w:sz="4" w:space="0" w:color="1C1F63" w:themeColor="text1"/>
        <w:left w:val="single" w:sz="4" w:space="0" w:color="1C1F63" w:themeColor="text1"/>
        <w:bottom w:val="single" w:sz="4" w:space="0" w:color="1C1F63" w:themeColor="text1"/>
        <w:right w:val="single" w:sz="4" w:space="0" w:color="1C1F63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C1F63" w:themeFill="text1"/>
      </w:tcPr>
    </w:tblStylePr>
    <w:tblStylePr w:type="lastRow">
      <w:rPr>
        <w:b/>
        <w:bCs/>
      </w:rPr>
      <w:tblPr/>
      <w:tcPr>
        <w:tcBorders>
          <w:top w:val="double" w:sz="4" w:space="0" w:color="1C1F63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C1F63" w:themeColor="text1"/>
          <w:right w:val="single" w:sz="4" w:space="0" w:color="1C1F63" w:themeColor="text1"/>
        </w:tcBorders>
      </w:tcPr>
    </w:tblStylePr>
    <w:tblStylePr w:type="band1Horz">
      <w:tblPr/>
      <w:tcPr>
        <w:tcBorders>
          <w:top w:val="single" w:sz="4" w:space="0" w:color="1C1F63" w:themeColor="text1"/>
          <w:bottom w:val="single" w:sz="4" w:space="0" w:color="1C1F63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C1F63" w:themeColor="text1"/>
          <w:left w:val="nil"/>
        </w:tcBorders>
      </w:tcPr>
    </w:tblStylePr>
    <w:tblStylePr w:type="swCell">
      <w:tblPr/>
      <w:tcPr>
        <w:tcBorders>
          <w:top w:val="double" w:sz="4" w:space="0" w:color="1C1F63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locked/>
    <w:rsid w:val="00A85B06"/>
    <w:pPr>
      <w:spacing w:after="0" w:line="240" w:lineRule="auto"/>
    </w:pPr>
    <w:tblPr>
      <w:tblStyleRowBandSize w:val="1"/>
      <w:tblStyleColBandSize w:val="1"/>
      <w:tblBorders>
        <w:top w:val="single" w:sz="4" w:space="0" w:color="1C1F63" w:themeColor="accent1"/>
        <w:left w:val="single" w:sz="4" w:space="0" w:color="1C1F63" w:themeColor="accent1"/>
        <w:bottom w:val="single" w:sz="4" w:space="0" w:color="1C1F63" w:themeColor="accent1"/>
        <w:right w:val="single" w:sz="4" w:space="0" w:color="1C1F63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C1F63" w:themeFill="accent1"/>
      </w:tcPr>
    </w:tblStylePr>
    <w:tblStylePr w:type="lastRow">
      <w:rPr>
        <w:b/>
        <w:bCs/>
      </w:rPr>
      <w:tblPr/>
      <w:tcPr>
        <w:tcBorders>
          <w:top w:val="double" w:sz="4" w:space="0" w:color="1C1F63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C1F63" w:themeColor="accent1"/>
          <w:right w:val="single" w:sz="4" w:space="0" w:color="1C1F63" w:themeColor="accent1"/>
        </w:tcBorders>
      </w:tcPr>
    </w:tblStylePr>
    <w:tblStylePr w:type="band1Horz">
      <w:tblPr/>
      <w:tcPr>
        <w:tcBorders>
          <w:top w:val="single" w:sz="4" w:space="0" w:color="1C1F63" w:themeColor="accent1"/>
          <w:bottom w:val="single" w:sz="4" w:space="0" w:color="1C1F63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C1F63" w:themeColor="accent1"/>
          <w:left w:val="nil"/>
        </w:tcBorders>
      </w:tcPr>
    </w:tblStylePr>
    <w:tblStylePr w:type="swCell">
      <w:tblPr/>
      <w:tcPr>
        <w:tcBorders>
          <w:top w:val="double" w:sz="4" w:space="0" w:color="1C1F63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locked/>
    <w:rsid w:val="00A85B06"/>
    <w:pPr>
      <w:spacing w:after="0" w:line="240" w:lineRule="auto"/>
    </w:pPr>
    <w:tblPr>
      <w:tblStyleRowBandSize w:val="1"/>
      <w:tblStyleColBandSize w:val="1"/>
      <w:tblBorders>
        <w:top w:val="single" w:sz="4" w:space="0" w:color="075EDB" w:themeColor="accent2"/>
        <w:left w:val="single" w:sz="4" w:space="0" w:color="075EDB" w:themeColor="accent2"/>
        <w:bottom w:val="single" w:sz="4" w:space="0" w:color="075EDB" w:themeColor="accent2"/>
        <w:right w:val="single" w:sz="4" w:space="0" w:color="075EDB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75EDB" w:themeFill="accent2"/>
      </w:tcPr>
    </w:tblStylePr>
    <w:tblStylePr w:type="lastRow">
      <w:rPr>
        <w:b/>
        <w:bCs/>
      </w:rPr>
      <w:tblPr/>
      <w:tcPr>
        <w:tcBorders>
          <w:top w:val="double" w:sz="4" w:space="0" w:color="075EDB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75EDB" w:themeColor="accent2"/>
          <w:right w:val="single" w:sz="4" w:space="0" w:color="075EDB" w:themeColor="accent2"/>
        </w:tcBorders>
      </w:tcPr>
    </w:tblStylePr>
    <w:tblStylePr w:type="band1Horz">
      <w:tblPr/>
      <w:tcPr>
        <w:tcBorders>
          <w:top w:val="single" w:sz="4" w:space="0" w:color="075EDB" w:themeColor="accent2"/>
          <w:bottom w:val="single" w:sz="4" w:space="0" w:color="075EDB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75EDB" w:themeColor="accent2"/>
          <w:left w:val="nil"/>
        </w:tcBorders>
      </w:tcPr>
    </w:tblStylePr>
    <w:tblStylePr w:type="swCell">
      <w:tblPr/>
      <w:tcPr>
        <w:tcBorders>
          <w:top w:val="double" w:sz="4" w:space="0" w:color="075EDB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locked/>
    <w:rsid w:val="00A85B06"/>
    <w:pPr>
      <w:spacing w:after="0" w:line="240" w:lineRule="auto"/>
    </w:pPr>
    <w:tblPr>
      <w:tblStyleRowBandSize w:val="1"/>
      <w:tblStyleColBandSize w:val="1"/>
      <w:tblBorders>
        <w:top w:val="single" w:sz="4" w:space="0" w:color="1C1F63" w:themeColor="accent3"/>
        <w:left w:val="single" w:sz="4" w:space="0" w:color="1C1F63" w:themeColor="accent3"/>
        <w:bottom w:val="single" w:sz="4" w:space="0" w:color="1C1F63" w:themeColor="accent3"/>
        <w:right w:val="single" w:sz="4" w:space="0" w:color="1C1F63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C1F63" w:themeFill="accent3"/>
      </w:tcPr>
    </w:tblStylePr>
    <w:tblStylePr w:type="lastRow">
      <w:rPr>
        <w:b/>
        <w:bCs/>
      </w:rPr>
      <w:tblPr/>
      <w:tcPr>
        <w:tcBorders>
          <w:top w:val="double" w:sz="4" w:space="0" w:color="1C1F63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C1F63" w:themeColor="accent3"/>
          <w:right w:val="single" w:sz="4" w:space="0" w:color="1C1F63" w:themeColor="accent3"/>
        </w:tcBorders>
      </w:tcPr>
    </w:tblStylePr>
    <w:tblStylePr w:type="band1Horz">
      <w:tblPr/>
      <w:tcPr>
        <w:tcBorders>
          <w:top w:val="single" w:sz="4" w:space="0" w:color="1C1F63" w:themeColor="accent3"/>
          <w:bottom w:val="single" w:sz="4" w:space="0" w:color="1C1F63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C1F63" w:themeColor="accent3"/>
          <w:left w:val="nil"/>
        </w:tcBorders>
      </w:tcPr>
    </w:tblStylePr>
    <w:tblStylePr w:type="swCell">
      <w:tblPr/>
      <w:tcPr>
        <w:tcBorders>
          <w:top w:val="double" w:sz="4" w:space="0" w:color="1C1F63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locked/>
    <w:rsid w:val="00A85B06"/>
    <w:pPr>
      <w:spacing w:after="0" w:line="240" w:lineRule="auto"/>
    </w:pPr>
    <w:tblPr>
      <w:tblStyleRowBandSize w:val="1"/>
      <w:tblStyleColBandSize w:val="1"/>
      <w:tblBorders>
        <w:top w:val="single" w:sz="4" w:space="0" w:color="075EDB" w:themeColor="accent4"/>
        <w:left w:val="single" w:sz="4" w:space="0" w:color="075EDB" w:themeColor="accent4"/>
        <w:bottom w:val="single" w:sz="4" w:space="0" w:color="075EDB" w:themeColor="accent4"/>
        <w:right w:val="single" w:sz="4" w:space="0" w:color="075EDB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75EDB" w:themeFill="accent4"/>
      </w:tcPr>
    </w:tblStylePr>
    <w:tblStylePr w:type="lastRow">
      <w:rPr>
        <w:b/>
        <w:bCs/>
      </w:rPr>
      <w:tblPr/>
      <w:tcPr>
        <w:tcBorders>
          <w:top w:val="double" w:sz="4" w:space="0" w:color="075EDB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75EDB" w:themeColor="accent4"/>
          <w:right w:val="single" w:sz="4" w:space="0" w:color="075EDB" w:themeColor="accent4"/>
        </w:tcBorders>
      </w:tcPr>
    </w:tblStylePr>
    <w:tblStylePr w:type="band1Horz">
      <w:tblPr/>
      <w:tcPr>
        <w:tcBorders>
          <w:top w:val="single" w:sz="4" w:space="0" w:color="075EDB" w:themeColor="accent4"/>
          <w:bottom w:val="single" w:sz="4" w:space="0" w:color="075EDB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75EDB" w:themeColor="accent4"/>
          <w:left w:val="nil"/>
        </w:tcBorders>
      </w:tcPr>
    </w:tblStylePr>
    <w:tblStylePr w:type="swCell">
      <w:tblPr/>
      <w:tcPr>
        <w:tcBorders>
          <w:top w:val="double" w:sz="4" w:space="0" w:color="075EDB" w:themeColor="accent4"/>
          <w:right w:val="nil"/>
        </w:tcBorders>
      </w:tcPr>
    </w:tblStylePr>
  </w:style>
  <w:style w:type="table" w:styleId="GridTable2">
    <w:name w:val="Grid Table 2"/>
    <w:basedOn w:val="TableNormal"/>
    <w:uiPriority w:val="47"/>
    <w:locked/>
    <w:rsid w:val="00A85B06"/>
    <w:pPr>
      <w:spacing w:after="0" w:line="240" w:lineRule="auto"/>
    </w:pPr>
    <w:tblPr>
      <w:tblStyleRowBandSize w:val="1"/>
      <w:tblStyleColBandSize w:val="1"/>
      <w:tblBorders>
        <w:top w:val="single" w:sz="2" w:space="0" w:color="4B50CC" w:themeColor="text1" w:themeTint="99"/>
        <w:bottom w:val="single" w:sz="2" w:space="0" w:color="4B50CC" w:themeColor="text1" w:themeTint="99"/>
        <w:insideH w:val="single" w:sz="2" w:space="0" w:color="4B50CC" w:themeColor="text1" w:themeTint="99"/>
        <w:insideV w:val="single" w:sz="2" w:space="0" w:color="4B50CC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B50CC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B50CC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C4EE" w:themeFill="text1" w:themeFillTint="33"/>
      </w:tcPr>
    </w:tblStylePr>
    <w:tblStylePr w:type="band1Horz">
      <w:tblPr/>
      <w:tcPr>
        <w:shd w:val="clear" w:color="auto" w:fill="C3C4EE" w:themeFill="text1" w:themeFillTint="33"/>
      </w:tcPr>
    </w:tblStylePr>
  </w:style>
  <w:style w:type="table" w:styleId="ListTable1Light">
    <w:name w:val="List Table 1 Light"/>
    <w:basedOn w:val="TableNormal"/>
    <w:uiPriority w:val="46"/>
    <w:rsid w:val="00A85B0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B50CC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B50C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C4EE" w:themeFill="text1" w:themeFillTint="33"/>
      </w:tcPr>
    </w:tblStylePr>
    <w:tblStylePr w:type="band1Horz">
      <w:tblPr/>
      <w:tcPr>
        <w:shd w:val="clear" w:color="auto" w:fill="C3C4EE" w:themeFill="text1" w:themeFillTint="33"/>
      </w:tcPr>
    </w:tblStylePr>
  </w:style>
  <w:style w:type="table" w:styleId="ListTable2">
    <w:name w:val="List Table 2"/>
    <w:basedOn w:val="TableNormal"/>
    <w:uiPriority w:val="47"/>
    <w:locked/>
    <w:rsid w:val="00A85B06"/>
    <w:pPr>
      <w:spacing w:after="0" w:line="240" w:lineRule="auto"/>
    </w:pPr>
    <w:tblPr>
      <w:tblStyleRowBandSize w:val="1"/>
      <w:tblStyleColBandSize w:val="1"/>
      <w:tblBorders>
        <w:top w:val="single" w:sz="4" w:space="0" w:color="4B50CC" w:themeColor="text1" w:themeTint="99"/>
        <w:bottom w:val="single" w:sz="4" w:space="0" w:color="4B50CC" w:themeColor="text1" w:themeTint="99"/>
        <w:insideH w:val="single" w:sz="4" w:space="0" w:color="4B50CC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C4EE" w:themeFill="text1" w:themeFillTint="33"/>
      </w:tcPr>
    </w:tblStylePr>
    <w:tblStylePr w:type="band1Horz">
      <w:tblPr/>
      <w:tcPr>
        <w:shd w:val="clear" w:color="auto" w:fill="C3C4EE" w:themeFill="text1" w:themeFillTint="33"/>
      </w:tcPr>
    </w:tblStylePr>
  </w:style>
  <w:style w:type="character" w:styleId="Hyperlink">
    <w:name w:val="Hyperlink"/>
    <w:basedOn w:val="DefaultParagraphFont"/>
    <w:uiPriority w:val="99"/>
    <w:semiHidden/>
    <w:rsid w:val="00DE704D"/>
    <w:rPr>
      <w:color w:val="075EDB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DE704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rsid w:val="00DE704D"/>
    <w:rPr>
      <w:color w:val="8605E4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2"/>
    <w:rsid w:val="000426B0"/>
    <w:rPr>
      <w:rFonts w:asciiTheme="majorHAnsi" w:eastAsiaTheme="majorEastAsia" w:hAnsiTheme="majorHAnsi" w:cstheme="majorBidi"/>
      <w:b/>
      <w:color w:val="1C1F63" w:themeColor="accent3"/>
      <w:kern w:val="28"/>
      <w:sz w:val="48"/>
      <w:szCs w:val="52"/>
      <w:lang w:val="en-GB"/>
    </w:rPr>
  </w:style>
  <w:style w:type="character" w:customStyle="1" w:styleId="Heading2Char">
    <w:name w:val="Heading 2 Char"/>
    <w:basedOn w:val="DefaultParagraphFont"/>
    <w:link w:val="Heading2"/>
    <w:uiPriority w:val="2"/>
    <w:rsid w:val="006616E9"/>
    <w:rPr>
      <w:rFonts w:asciiTheme="majorHAnsi" w:eastAsia="Times New Roman" w:hAnsiTheme="majorHAnsi" w:cstheme="majorHAnsi"/>
      <w:b/>
      <w:bCs/>
      <w:color w:val="1C1F63" w:themeColor="text1"/>
      <w:sz w:val="36"/>
      <w:szCs w:val="36"/>
      <w:lang w:val="en-GB"/>
    </w:rPr>
  </w:style>
  <w:style w:type="character" w:customStyle="1" w:styleId="Heading3Char">
    <w:name w:val="Heading 3 Char"/>
    <w:aliases w:val="Headings (numbered) Char"/>
    <w:basedOn w:val="DefaultParagraphFont"/>
    <w:link w:val="Heading3"/>
    <w:uiPriority w:val="2"/>
    <w:rsid w:val="000426B0"/>
    <w:rPr>
      <w:rFonts w:asciiTheme="majorHAnsi" w:eastAsia="Times New Roman" w:hAnsiTheme="majorHAnsi"/>
      <w:b/>
      <w:color w:val="1C1F63" w:themeColor="accent3"/>
      <w:sz w:val="28"/>
      <w:lang w:val="en-GB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06DF2"/>
    <w:rPr>
      <w:rFonts w:ascii="Arial" w:hAnsi="Arial"/>
      <w:sz w:val="24"/>
      <w:lang w:val="en-GB"/>
    </w:rPr>
  </w:style>
  <w:style w:type="character" w:customStyle="1" w:styleId="BodytextChar">
    <w:name w:val="Body text Char"/>
    <w:basedOn w:val="DefaultParagraphFont"/>
    <w:link w:val="BodyText1"/>
    <w:semiHidden/>
    <w:locked/>
    <w:rsid w:val="009B3BE6"/>
    <w:rPr>
      <w:rFonts w:ascii="Arial" w:eastAsia="Times New Roman" w:hAnsi="Arial" w:cs="Arial"/>
      <w:color w:val="1C1F63" w:themeColor="text1"/>
      <w:sz w:val="24"/>
      <w:szCs w:val="24"/>
      <w:lang w:eastAsia="en-GB"/>
    </w:rPr>
  </w:style>
  <w:style w:type="paragraph" w:customStyle="1" w:styleId="BodyText1">
    <w:name w:val="Body Text1"/>
    <w:basedOn w:val="Normal"/>
    <w:link w:val="BodytextChar"/>
    <w:semiHidden/>
    <w:qFormat/>
    <w:rsid w:val="00606DF2"/>
    <w:pPr>
      <w:spacing w:after="0" w:line="240" w:lineRule="auto"/>
    </w:pPr>
    <w:rPr>
      <w:rFonts w:eastAsia="Times New Roman" w:cs="Arial"/>
      <w:color w:val="1C1F63" w:themeColor="text1"/>
      <w:szCs w:val="24"/>
      <w:lang w:val="en-US" w:eastAsia="en-GB"/>
    </w:rPr>
  </w:style>
  <w:style w:type="character" w:customStyle="1" w:styleId="Head2Char">
    <w:name w:val="Head 2 Char"/>
    <w:basedOn w:val="DefaultParagraphFont"/>
    <w:link w:val="Head2"/>
    <w:semiHidden/>
    <w:locked/>
    <w:rsid w:val="009B3BE6"/>
    <w:rPr>
      <w:rFonts w:ascii="Arial" w:hAnsi="Arial" w:cs="Arial"/>
      <w:b/>
      <w:color w:val="1C1F63" w:themeColor="text1"/>
      <w:sz w:val="28"/>
      <w:szCs w:val="28"/>
    </w:rPr>
  </w:style>
  <w:style w:type="paragraph" w:customStyle="1" w:styleId="Head2">
    <w:name w:val="Head 2"/>
    <w:basedOn w:val="Normal"/>
    <w:link w:val="Head2Char"/>
    <w:semiHidden/>
    <w:qFormat/>
    <w:rsid w:val="00606DF2"/>
    <w:pPr>
      <w:spacing w:after="0" w:line="240" w:lineRule="auto"/>
      <w:outlineLvl w:val="1"/>
    </w:pPr>
    <w:rPr>
      <w:rFonts w:cs="Arial"/>
      <w:b/>
      <w:color w:val="1C1F63" w:themeColor="text1"/>
      <w:sz w:val="28"/>
      <w:szCs w:val="28"/>
      <w:lang w:val="en-US"/>
    </w:rPr>
  </w:style>
  <w:style w:type="paragraph" w:customStyle="1" w:styleId="Bullet">
    <w:name w:val="Bullet"/>
    <w:basedOn w:val="Normal"/>
    <w:qFormat/>
    <w:rsid w:val="00AF58CB"/>
    <w:pPr>
      <w:numPr>
        <w:numId w:val="7"/>
      </w:numPr>
      <w:spacing w:after="0" w:line="276" w:lineRule="auto"/>
    </w:pPr>
    <w:rPr>
      <w:rFonts w:asciiTheme="minorHAnsi" w:hAnsiTheme="minorHAnsi"/>
    </w:rPr>
  </w:style>
  <w:style w:type="numbering" w:customStyle="1" w:styleId="NHSBNSSGBulletList">
    <w:name w:val="NHS BNSSG Bullet List"/>
    <w:uiPriority w:val="99"/>
    <w:rsid w:val="00AF58CB"/>
    <w:pPr>
      <w:numPr>
        <w:numId w:val="6"/>
      </w:numPr>
    </w:pPr>
  </w:style>
  <w:style w:type="paragraph" w:styleId="Revision">
    <w:name w:val="Revision"/>
    <w:hidden/>
    <w:uiPriority w:val="99"/>
    <w:semiHidden/>
    <w:rsid w:val="007C5B7E"/>
    <w:pPr>
      <w:spacing w:after="0" w:line="240" w:lineRule="auto"/>
    </w:pPr>
    <w:rPr>
      <w:rFonts w:ascii="Arial" w:hAnsi="Arial"/>
      <w:sz w:val="24"/>
      <w:lang w:val="en-GB"/>
    </w:rPr>
  </w:style>
  <w:style w:type="paragraph" w:styleId="NormalWeb">
    <w:name w:val="Normal (Web)"/>
    <w:basedOn w:val="Normal"/>
    <w:uiPriority w:val="99"/>
    <w:semiHidden/>
    <w:unhideWhenUsed/>
    <w:rsid w:val="00AD3D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37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4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Healthier Together with ICB document">
      <a:dk1>
        <a:srgbClr val="1C1F63"/>
      </a:dk1>
      <a:lt1>
        <a:sysClr val="window" lastClr="FFFFFF"/>
      </a:lt1>
      <a:dk2>
        <a:srgbClr val="44546A"/>
      </a:dk2>
      <a:lt2>
        <a:srgbClr val="E7E6E6"/>
      </a:lt2>
      <a:accent1>
        <a:srgbClr val="1C1F63"/>
      </a:accent1>
      <a:accent2>
        <a:srgbClr val="075EDB"/>
      </a:accent2>
      <a:accent3>
        <a:srgbClr val="1C1F63"/>
      </a:accent3>
      <a:accent4>
        <a:srgbClr val="075EDB"/>
      </a:accent4>
      <a:accent5>
        <a:srgbClr val="1C1F63"/>
      </a:accent5>
      <a:accent6>
        <a:srgbClr val="075EDB"/>
      </a:accent6>
      <a:hlink>
        <a:srgbClr val="075EDB"/>
      </a:hlink>
      <a:folHlink>
        <a:srgbClr val="8605E4"/>
      </a:folHlink>
    </a:clrScheme>
    <a:fontScheme name="Healthier Together">
      <a:majorFont>
        <a:latin typeface="Arial Black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0821FF2A52BB4BA76DA2E7D689F628" ma:contentTypeVersion="14" ma:contentTypeDescription="Create a new document." ma:contentTypeScope="" ma:versionID="cc6f0b4637adce99ab1a2075619db29e">
  <xsd:schema xmlns:xsd="http://www.w3.org/2001/XMLSchema" xmlns:xs="http://www.w3.org/2001/XMLSchema" xmlns:p="http://schemas.microsoft.com/office/2006/metadata/properties" xmlns:ns1="http://schemas.microsoft.com/sharepoint/v3" xmlns:ns2="6b80534c-36dd-48dc-a935-71d0ba21b225" xmlns:ns3="0c778aa1-265b-4f19-a095-2917cdeac7ff" targetNamespace="http://schemas.microsoft.com/office/2006/metadata/properties" ma:root="true" ma:fieldsID="aa4e76ff65be8a9a69ab06a22bc56dca" ns1:_="" ns2:_="" ns3:_="">
    <xsd:import namespace="http://schemas.microsoft.com/sharepoint/v3"/>
    <xsd:import namespace="6b80534c-36dd-48dc-a935-71d0ba21b225"/>
    <xsd:import namespace="0c778aa1-265b-4f19-a095-2917cdeac7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80534c-36dd-48dc-a935-71d0ba21b2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778aa1-265b-4f19-a095-2917cdeac7f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f1310c5-89ae-4f32-a996-5175d54e9425}" ma:internalName="TaxCatchAll" ma:showField="CatchAllData" ma:web="0c778aa1-265b-4f19-a095-2917cdeac7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0c778aa1-265b-4f19-a095-2917cdeac7ff" xsi:nil="true"/>
    <lcf76f155ced4ddcb4097134ff3c332f xmlns="6b80534c-36dd-48dc-a935-71d0ba21b22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5AFA3EA-6BBA-4C30-AC59-EC6749F68A40}"/>
</file>

<file path=customXml/itemProps2.xml><?xml version="1.0" encoding="utf-8"?>
<ds:datastoreItem xmlns:ds="http://schemas.openxmlformats.org/officeDocument/2006/customXml" ds:itemID="{B37B5799-EDC9-45EC-908B-137B3B00168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EB5CA97-A5E1-42C1-85D5-5D9F5920563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9B4711C-A410-452D-9C4D-F8F4CBD2A4A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606</Words>
  <Characters>3388</Characters>
  <Application>Microsoft Office Word</Application>
  <DocSecurity>4</DocSecurity>
  <Lines>376</Lines>
  <Paragraphs>307</Paragraphs>
  <ScaleCrop>false</ScaleCrop>
  <Company/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Winter Planning 2026/27 and Board Assurance Statements</dc:title>
  <dc:subject>Cluster cover paper for Gloucestershire and BNSSG</dc:subject>
  <dc:creator>Suvidha Bane</dc:creator>
  <cp:keywords/>
  <dc:description/>
  <cp:lastModifiedBy>CARTER, Loran (NHS BRISTOL, NORTH SOMERSET AND SOUTH GLOUCESTERSHIRE ICB - 15C)</cp:lastModifiedBy>
  <cp:revision>2</cp:revision>
  <dcterms:created xsi:type="dcterms:W3CDTF">2026-09-25T09:04:00Z</dcterms:created>
  <dcterms:modified xsi:type="dcterms:W3CDTF">2026-09-25T09:04:00Z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GrammarlyDocumentId">
    <vt:lpwstr>b4fbf4a65f7d1ddef991659c2269215d36314399cb6f44e612cc251d93e63e58</vt:lpwstr>
  </property>
  <property fmtid="{D5CDD505-2E9C-101B-9397-08002B2CF9AE}" pid="4" name="docLang">
    <vt:lpwstr>en</vt:lpwstr>
  </property>
  <property fmtid="{D5CDD505-2E9C-101B-9397-08002B2CF9AE}" pid="5" name="ContentTypeId">
    <vt:lpwstr>0x0101001D0821FF2A52BB4BA76DA2E7D689F628</vt:lpwstr>
  </property>
</Properties>
</file>