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9C44B" w14:textId="61C03C0B" w:rsidR="0043434A" w:rsidRDefault="00CC3F1A" w:rsidP="0E4022BA">
      <w:pPr>
        <w:pStyle w:val="Header"/>
        <w:ind w:right="-338"/>
        <w:jc w:val="right"/>
        <w:rPr>
          <w:rFonts w:ascii="Arial" w:hAnsi="Arial" w:cs="Arial"/>
          <w:sz w:val="28"/>
          <w:szCs w:val="28"/>
        </w:rPr>
      </w:pPr>
      <w:r>
        <w:rPr>
          <w:rFonts w:ascii="Arial" w:hAnsi="Arial" w:cs="Arial"/>
          <w:noProof/>
          <w:snapToGrid/>
          <w:sz w:val="28"/>
          <w:lang w:eastAsia="en-GB"/>
        </w:rPr>
        <mc:AlternateContent>
          <mc:Choice Requires="wps">
            <w:drawing>
              <wp:anchor distT="0" distB="0" distL="114300" distR="114300" simplePos="0" relativeHeight="251658240" behindDoc="0" locked="0" layoutInCell="1" allowOverlap="1" wp14:anchorId="7379A6BF" wp14:editId="69DF5515">
                <wp:simplePos x="0" y="0"/>
                <wp:positionH relativeFrom="margin">
                  <wp:align>right</wp:align>
                </wp:positionH>
                <wp:positionV relativeFrom="paragraph">
                  <wp:posOffset>-298450</wp:posOffset>
                </wp:positionV>
                <wp:extent cx="5734050" cy="2028825"/>
                <wp:effectExtent l="0" t="0" r="0" b="9525"/>
                <wp:wrapNone/>
                <wp:docPr id="1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028825"/>
                        </a:xfrm>
                        <a:prstGeom prst="rect">
                          <a:avLst/>
                        </a:prstGeom>
                        <a:solidFill>
                          <a:srgbClr val="FFFFFF"/>
                        </a:solidFill>
                        <a:ln w="9525">
                          <a:noFill/>
                          <a:miter lim="800000"/>
                          <a:headEnd/>
                          <a:tailEnd/>
                        </a:ln>
                      </wps:spPr>
                      <wps:txbx>
                        <w:txbxContent>
                          <w:p w14:paraId="195464A5" w14:textId="72D33570" w:rsidR="00AE7A38" w:rsidRPr="003A6F73" w:rsidRDefault="00316510" w:rsidP="00D5739F">
                            <w:pPr>
                              <w:spacing w:before="120"/>
                              <w:jc w:val="center"/>
                              <w:rPr>
                                <w:rFonts w:ascii="Arial" w:hAnsi="Arial" w:cs="Arial"/>
                                <w:b/>
                                <w:color w:val="1F497D" w:themeColor="text2"/>
                                <w:sz w:val="52"/>
                                <w:szCs w:val="52"/>
                              </w:rPr>
                            </w:pPr>
                            <w:r w:rsidRPr="003A6F73">
                              <w:rPr>
                                <w:rFonts w:ascii="Arial" w:hAnsi="Arial" w:cs="Arial"/>
                                <w:b/>
                                <w:color w:val="1F497D" w:themeColor="text2"/>
                                <w:sz w:val="52"/>
                                <w:szCs w:val="52"/>
                              </w:rPr>
                              <w:t xml:space="preserve">One </w:t>
                            </w:r>
                            <w:r w:rsidR="00AE7A38" w:rsidRPr="003A6F73">
                              <w:rPr>
                                <w:rFonts w:ascii="Arial" w:hAnsi="Arial" w:cs="Arial"/>
                                <w:b/>
                                <w:color w:val="1F497D" w:themeColor="text2"/>
                                <w:sz w:val="52"/>
                                <w:szCs w:val="52"/>
                              </w:rPr>
                              <w:t xml:space="preserve">Gloucestershire’s </w:t>
                            </w:r>
                          </w:p>
                          <w:p w14:paraId="604EFBDB" w14:textId="77777777" w:rsidR="00316510" w:rsidRPr="003A6F73" w:rsidRDefault="00316510" w:rsidP="00D5739F">
                            <w:pPr>
                              <w:spacing w:before="120"/>
                              <w:jc w:val="center"/>
                              <w:rPr>
                                <w:rFonts w:ascii="Arial" w:hAnsi="Arial" w:cs="Arial"/>
                                <w:b/>
                                <w:color w:val="1F497D" w:themeColor="text2"/>
                                <w:sz w:val="52"/>
                                <w:szCs w:val="52"/>
                              </w:rPr>
                            </w:pPr>
                            <w:bookmarkStart w:id="0" w:name="_Hlk201259511"/>
                            <w:r w:rsidRPr="003A6F73">
                              <w:rPr>
                                <w:rFonts w:ascii="Arial" w:hAnsi="Arial" w:cs="Arial"/>
                                <w:b/>
                                <w:color w:val="1F497D" w:themeColor="text2"/>
                                <w:sz w:val="52"/>
                                <w:szCs w:val="52"/>
                              </w:rPr>
                              <w:t>Urgent and Emergency Care</w:t>
                            </w:r>
                          </w:p>
                          <w:p w14:paraId="560214A0" w14:textId="0891E6D6" w:rsidR="00AE7A38" w:rsidRPr="003A6F73" w:rsidRDefault="00316510" w:rsidP="00D5739F">
                            <w:pPr>
                              <w:spacing w:before="120"/>
                              <w:jc w:val="center"/>
                              <w:rPr>
                                <w:rFonts w:ascii="Arial" w:hAnsi="Arial" w:cs="Arial"/>
                                <w:b/>
                                <w:color w:val="1F497D" w:themeColor="text2"/>
                                <w:sz w:val="52"/>
                                <w:szCs w:val="52"/>
                              </w:rPr>
                            </w:pPr>
                            <w:r w:rsidRPr="003A6F73">
                              <w:rPr>
                                <w:rFonts w:ascii="Arial" w:hAnsi="Arial" w:cs="Arial"/>
                                <w:b/>
                                <w:color w:val="1F497D" w:themeColor="text2"/>
                                <w:sz w:val="52"/>
                                <w:szCs w:val="52"/>
                              </w:rPr>
                              <w:t xml:space="preserve"> </w:t>
                            </w:r>
                            <w:r w:rsidR="00FD19B6">
                              <w:rPr>
                                <w:rFonts w:ascii="Arial" w:hAnsi="Arial" w:cs="Arial"/>
                                <w:b/>
                                <w:color w:val="1F497D" w:themeColor="text2"/>
                                <w:sz w:val="52"/>
                                <w:szCs w:val="52"/>
                              </w:rPr>
                              <w:t>2</w:t>
                            </w:r>
                            <w:r w:rsidR="00026B99">
                              <w:rPr>
                                <w:rFonts w:ascii="Arial" w:hAnsi="Arial" w:cs="Arial"/>
                                <w:b/>
                                <w:color w:val="1F497D" w:themeColor="text2"/>
                                <w:sz w:val="52"/>
                                <w:szCs w:val="52"/>
                              </w:rPr>
                              <w:t>6</w:t>
                            </w:r>
                            <w:r w:rsidR="00FD19B6">
                              <w:rPr>
                                <w:rFonts w:ascii="Arial" w:hAnsi="Arial" w:cs="Arial"/>
                                <w:b/>
                                <w:color w:val="1F497D" w:themeColor="text2"/>
                                <w:sz w:val="52"/>
                                <w:szCs w:val="52"/>
                              </w:rPr>
                              <w:t>/2</w:t>
                            </w:r>
                            <w:r w:rsidR="00026B99">
                              <w:rPr>
                                <w:rFonts w:ascii="Arial" w:hAnsi="Arial" w:cs="Arial"/>
                                <w:b/>
                                <w:color w:val="1F497D" w:themeColor="text2"/>
                                <w:sz w:val="52"/>
                                <w:szCs w:val="52"/>
                              </w:rPr>
                              <w:t>7</w:t>
                            </w:r>
                            <w:r w:rsidR="00FD19B6">
                              <w:rPr>
                                <w:rFonts w:ascii="Arial" w:hAnsi="Arial" w:cs="Arial"/>
                                <w:b/>
                                <w:color w:val="1F497D" w:themeColor="text2"/>
                                <w:sz w:val="52"/>
                                <w:szCs w:val="52"/>
                              </w:rPr>
                              <w:t xml:space="preserve"> </w:t>
                            </w:r>
                            <w:r w:rsidR="00664418">
                              <w:rPr>
                                <w:rFonts w:ascii="Arial" w:hAnsi="Arial" w:cs="Arial"/>
                                <w:b/>
                                <w:color w:val="1F497D" w:themeColor="text2"/>
                                <w:sz w:val="52"/>
                                <w:szCs w:val="52"/>
                              </w:rPr>
                              <w:t>Winter Plan</w:t>
                            </w:r>
                            <w:bookmarkEnd w:id="0"/>
                          </w:p>
                          <w:p w14:paraId="6923574D" w14:textId="60516067" w:rsidR="00D5739F" w:rsidRPr="00EF2F8C" w:rsidRDefault="00D5739F" w:rsidP="00D5739F">
                            <w:pPr>
                              <w:spacing w:before="120"/>
                              <w:jc w:val="center"/>
                              <w:rPr>
                                <w:rFonts w:ascii="Arial" w:hAnsi="Arial" w:cs="Arial"/>
                                <w:b/>
                                <w:color w:val="0070C0"/>
                                <w:sz w:val="52"/>
                                <w:szCs w:val="5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79A6BF" id="_x0000_t202" coordsize="21600,21600" o:spt="202" path="m,l,21600r21600,l21600,xe">
                <v:stroke joinstyle="miter"/>
                <v:path gradientshapeok="t" o:connecttype="rect"/>
              </v:shapetype>
              <v:shape id="Text Box 49" o:spid="_x0000_s1026" type="#_x0000_t202" style="position:absolute;left:0;text-align:left;margin-left:400.3pt;margin-top:-23.5pt;width:451.5pt;height:159.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" stroked="f">
                <v:textbox>
                  <w:txbxContent>
                    <w:p w14:paraId="195464A5" w14:textId="72D33570" w:rsidR="00AE7A38" w:rsidRPr="003A6F73" w:rsidRDefault="00316510" w:rsidP="00D5739F">
                      <w:pPr>
                        <w:spacing w:before="120"/>
                        <w:jc w:val="center"/>
                        <w:rPr>
                          <w:rFonts w:ascii="Arial" w:hAnsi="Arial" w:cs="Arial"/>
                          <w:b/>
                          <w:color w:val="1F497D" w:themeColor="text2"/>
                          <w:sz w:val="52"/>
                          <w:szCs w:val="52"/>
                        </w:rPr>
                      </w:pPr>
                      <w:r w:rsidRPr="003A6F73">
                        <w:rPr>
                          <w:rFonts w:ascii="Arial" w:hAnsi="Arial" w:cs="Arial"/>
                          <w:b/>
                          <w:color w:val="1F497D" w:themeColor="text2"/>
                          <w:sz w:val="52"/>
                          <w:szCs w:val="52"/>
                        </w:rPr>
                        <w:t xml:space="preserve">One </w:t>
                      </w:r>
                      <w:r w:rsidR="00AE7A38" w:rsidRPr="003A6F73">
                        <w:rPr>
                          <w:rFonts w:ascii="Arial" w:hAnsi="Arial" w:cs="Arial"/>
                          <w:b/>
                          <w:color w:val="1F497D" w:themeColor="text2"/>
                          <w:sz w:val="52"/>
                          <w:szCs w:val="52"/>
                        </w:rPr>
                        <w:t xml:space="preserve">Gloucestershire’s </w:t>
                      </w:r>
                    </w:p>
                    <w:p w14:paraId="604EFBDB" w14:textId="77777777" w:rsidR="00316510" w:rsidRPr="003A6F73" w:rsidRDefault="00316510" w:rsidP="00D5739F">
                      <w:pPr>
                        <w:spacing w:before="120"/>
                        <w:jc w:val="center"/>
                        <w:rPr>
                          <w:rFonts w:ascii="Arial" w:hAnsi="Arial" w:cs="Arial"/>
                          <w:b/>
                          <w:color w:val="1F497D" w:themeColor="text2"/>
                          <w:sz w:val="52"/>
                          <w:szCs w:val="52"/>
                        </w:rPr>
                      </w:pPr>
                      <w:bookmarkStart w:id="1" w:name="_Hlk201259511"/>
                      <w:r w:rsidRPr="003A6F73">
                        <w:rPr>
                          <w:rFonts w:ascii="Arial" w:hAnsi="Arial" w:cs="Arial"/>
                          <w:b/>
                          <w:color w:val="1F497D" w:themeColor="text2"/>
                          <w:sz w:val="52"/>
                          <w:szCs w:val="52"/>
                        </w:rPr>
                        <w:t>Urgent and Emergency Care</w:t>
                      </w:r>
                    </w:p>
                    <w:p w14:paraId="560214A0" w14:textId="0891E6D6" w:rsidR="00AE7A38" w:rsidRPr="003A6F73" w:rsidRDefault="00316510" w:rsidP="00D5739F">
                      <w:pPr>
                        <w:spacing w:before="120"/>
                        <w:jc w:val="center"/>
                        <w:rPr>
                          <w:rFonts w:ascii="Arial" w:hAnsi="Arial" w:cs="Arial"/>
                          <w:b/>
                          <w:color w:val="1F497D" w:themeColor="text2"/>
                          <w:sz w:val="52"/>
                          <w:szCs w:val="52"/>
                        </w:rPr>
                      </w:pPr>
                      <w:r w:rsidRPr="003A6F73">
                        <w:rPr>
                          <w:rFonts w:ascii="Arial" w:hAnsi="Arial" w:cs="Arial"/>
                          <w:b/>
                          <w:color w:val="1F497D" w:themeColor="text2"/>
                          <w:sz w:val="52"/>
                          <w:szCs w:val="52"/>
                        </w:rPr>
                        <w:t xml:space="preserve"> </w:t>
                      </w:r>
                      <w:r w:rsidR="00FD19B6">
                        <w:rPr>
                          <w:rFonts w:ascii="Arial" w:hAnsi="Arial" w:cs="Arial"/>
                          <w:b/>
                          <w:color w:val="1F497D" w:themeColor="text2"/>
                          <w:sz w:val="52"/>
                          <w:szCs w:val="52"/>
                        </w:rPr>
                        <w:t>2</w:t>
                      </w:r>
                      <w:r w:rsidR="00026B99">
                        <w:rPr>
                          <w:rFonts w:ascii="Arial" w:hAnsi="Arial" w:cs="Arial"/>
                          <w:b/>
                          <w:color w:val="1F497D" w:themeColor="text2"/>
                          <w:sz w:val="52"/>
                          <w:szCs w:val="52"/>
                        </w:rPr>
                        <w:t>6</w:t>
                      </w:r>
                      <w:r w:rsidR="00FD19B6">
                        <w:rPr>
                          <w:rFonts w:ascii="Arial" w:hAnsi="Arial" w:cs="Arial"/>
                          <w:b/>
                          <w:color w:val="1F497D" w:themeColor="text2"/>
                          <w:sz w:val="52"/>
                          <w:szCs w:val="52"/>
                        </w:rPr>
                        <w:t>/2</w:t>
                      </w:r>
                      <w:r w:rsidR="00026B99">
                        <w:rPr>
                          <w:rFonts w:ascii="Arial" w:hAnsi="Arial" w:cs="Arial"/>
                          <w:b/>
                          <w:color w:val="1F497D" w:themeColor="text2"/>
                          <w:sz w:val="52"/>
                          <w:szCs w:val="52"/>
                        </w:rPr>
                        <w:t>7</w:t>
                      </w:r>
                      <w:r w:rsidR="00FD19B6">
                        <w:rPr>
                          <w:rFonts w:ascii="Arial" w:hAnsi="Arial" w:cs="Arial"/>
                          <w:b/>
                          <w:color w:val="1F497D" w:themeColor="text2"/>
                          <w:sz w:val="52"/>
                          <w:szCs w:val="52"/>
                        </w:rPr>
                        <w:t xml:space="preserve"> </w:t>
                      </w:r>
                      <w:r w:rsidR="00664418">
                        <w:rPr>
                          <w:rFonts w:ascii="Arial" w:hAnsi="Arial" w:cs="Arial"/>
                          <w:b/>
                          <w:color w:val="1F497D" w:themeColor="text2"/>
                          <w:sz w:val="52"/>
                          <w:szCs w:val="52"/>
                        </w:rPr>
                        <w:t>Winter Plan</w:t>
                      </w:r>
                      <w:bookmarkEnd w:id="1"/>
                    </w:p>
                    <w:p w14:paraId="6923574D" w14:textId="60516067" w:rsidR="00D5739F" w:rsidRPr="00EF2F8C" w:rsidRDefault="00D5739F" w:rsidP="00D5739F">
                      <w:pPr>
                        <w:spacing w:before="120"/>
                        <w:jc w:val="center"/>
                        <w:rPr>
                          <w:rFonts w:ascii="Arial" w:hAnsi="Arial" w:cs="Arial"/>
                          <w:b/>
                          <w:color w:val="0070C0"/>
                          <w:sz w:val="52"/>
                          <w:szCs w:val="52"/>
                        </w:rPr>
                      </w:pPr>
                    </w:p>
                  </w:txbxContent>
                </v:textbox>
                <w10:wrap anchorx="margin"/>
              </v:shape>
            </w:pict>
          </mc:Fallback>
        </mc:AlternateContent>
      </w:r>
    </w:p>
    <w:p w14:paraId="5C6F4F6B" w14:textId="53655821" w:rsidR="0043434A" w:rsidRDefault="0043434A" w:rsidP="00D5739F">
      <w:pPr>
        <w:pStyle w:val="Header"/>
        <w:ind w:right="-338"/>
        <w:jc w:val="right"/>
        <w:rPr>
          <w:rFonts w:ascii="Arial" w:hAnsi="Arial" w:cs="Arial"/>
          <w:sz w:val="28"/>
        </w:rPr>
      </w:pPr>
      <w:bookmarkStart w:id="2" w:name="_Hlk157265996"/>
      <w:bookmarkEnd w:id="2"/>
    </w:p>
    <w:p w14:paraId="72965A02" w14:textId="77777777" w:rsidR="0043434A" w:rsidRDefault="0043434A" w:rsidP="00D5739F">
      <w:pPr>
        <w:pStyle w:val="Header"/>
        <w:ind w:right="-338"/>
        <w:jc w:val="right"/>
        <w:rPr>
          <w:rFonts w:ascii="Arial" w:hAnsi="Arial" w:cs="Arial"/>
          <w:sz w:val="28"/>
        </w:rPr>
      </w:pPr>
    </w:p>
    <w:p w14:paraId="267C6D98" w14:textId="05044B22" w:rsidR="00D5739F" w:rsidRDefault="00D5739F" w:rsidP="00D5739F">
      <w:pPr>
        <w:pStyle w:val="Header"/>
        <w:ind w:right="-338"/>
        <w:jc w:val="right"/>
        <w:rPr>
          <w:rFonts w:ascii="Arial" w:hAnsi="Arial" w:cs="Arial"/>
          <w:sz w:val="28"/>
        </w:rPr>
      </w:pPr>
    </w:p>
    <w:p w14:paraId="0E851A5E" w14:textId="77777777" w:rsidR="00D5739F" w:rsidRDefault="00D5739F" w:rsidP="00D5739F">
      <w:pPr>
        <w:pStyle w:val="Header"/>
        <w:ind w:right="-338"/>
        <w:jc w:val="right"/>
        <w:rPr>
          <w:rFonts w:ascii="Arial" w:hAnsi="Arial" w:cs="Arial"/>
          <w:sz w:val="28"/>
        </w:rPr>
      </w:pPr>
    </w:p>
    <w:p w14:paraId="235139D4" w14:textId="77777777" w:rsidR="00D5739F" w:rsidRDefault="00D5739F" w:rsidP="00D5739F">
      <w:pPr>
        <w:pStyle w:val="Header"/>
        <w:ind w:right="-338"/>
        <w:jc w:val="right"/>
        <w:rPr>
          <w:rFonts w:ascii="Arial" w:hAnsi="Arial" w:cs="Arial"/>
          <w:sz w:val="28"/>
        </w:rPr>
      </w:pPr>
    </w:p>
    <w:p w14:paraId="7E243DE6" w14:textId="77777777" w:rsidR="00D5739F" w:rsidRDefault="00D5739F" w:rsidP="00D5739F">
      <w:pPr>
        <w:pStyle w:val="Header"/>
        <w:ind w:right="-338"/>
        <w:jc w:val="right"/>
        <w:rPr>
          <w:rFonts w:ascii="Arial" w:hAnsi="Arial" w:cs="Arial"/>
          <w:sz w:val="28"/>
        </w:rPr>
      </w:pPr>
    </w:p>
    <w:p w14:paraId="02C9CC45" w14:textId="03263477" w:rsidR="00D5739F" w:rsidRDefault="00D5739F" w:rsidP="00D5739F">
      <w:pPr>
        <w:ind w:right="-338"/>
        <w:rPr>
          <w:rFonts w:ascii="Arial" w:hAnsi="Arial" w:cs="Arial"/>
        </w:rPr>
      </w:pPr>
    </w:p>
    <w:p w14:paraId="12AE275F" w14:textId="77777777" w:rsidR="00D5739F" w:rsidRDefault="00D5739F" w:rsidP="00D5739F">
      <w:pPr>
        <w:ind w:right="-338"/>
        <w:rPr>
          <w:rFonts w:ascii="Arial" w:hAnsi="Arial" w:cs="Arial"/>
        </w:rPr>
      </w:pPr>
    </w:p>
    <w:p w14:paraId="46028883" w14:textId="2DFFED59" w:rsidR="00EF2F8C" w:rsidRDefault="00EF2F8C" w:rsidP="00EF2F8C">
      <w:pPr>
        <w:ind w:right="-338"/>
        <w:jc w:val="center"/>
        <w:rPr>
          <w:rFonts w:ascii="Arial" w:hAnsi="Arial" w:cs="Arial"/>
        </w:rPr>
      </w:pPr>
      <w:r>
        <w:rPr>
          <w:noProof/>
          <w:snapToGrid/>
        </w:rPr>
        <w:drawing>
          <wp:inline distT="0" distB="0" distL="0" distR="0" wp14:anchorId="4E414CEB" wp14:editId="232594E4">
            <wp:extent cx="5965968" cy="472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Lst>
                    </a:blip>
                    <a:srcRect r="4393" b="11481"/>
                    <a:stretch/>
                  </pic:blipFill>
                  <pic:spPr bwMode="auto">
                    <a:xfrm>
                      <a:off x="0" y="0"/>
                      <a:ext cx="6024111" cy="4770443"/>
                    </a:xfrm>
                    <a:prstGeom prst="rect">
                      <a:avLst/>
                    </a:prstGeom>
                    <a:ln>
                      <a:noFill/>
                    </a:ln>
                    <a:extLst>
                      <a:ext uri="{53640926-AAD7-44D8-BBD7-CCE9431645EC}">
                        <a14:shadowObscured xmlns:a14="http://schemas.microsoft.com/office/drawing/2010/main"/>
                      </a:ext>
                    </a:extLst>
                  </pic:spPr>
                </pic:pic>
              </a:graphicData>
            </a:graphic>
          </wp:inline>
        </w:drawing>
      </w:r>
    </w:p>
    <w:p w14:paraId="5107ED38" w14:textId="77777777" w:rsidR="00FE342D" w:rsidRDefault="00FE342D" w:rsidP="006B519B">
      <w:pPr>
        <w:ind w:right="-338"/>
        <w:jc w:val="center"/>
        <w:rPr>
          <w:rFonts w:ascii="Arial" w:hAnsi="Arial" w:cs="Arial"/>
          <w:b/>
          <w:bCs/>
          <w:color w:val="1F497D" w:themeColor="text2"/>
          <w:sz w:val="22"/>
          <w:szCs w:val="18"/>
        </w:rPr>
      </w:pPr>
    </w:p>
    <w:p w14:paraId="797107AD" w14:textId="68DEA3BB" w:rsidR="00664418" w:rsidRDefault="00664418" w:rsidP="048A509B">
      <w:pPr>
        <w:ind w:right="-338"/>
        <w:jc w:val="center"/>
        <w:rPr>
          <w:rFonts w:ascii="Arial" w:hAnsi="Arial" w:cs="Arial"/>
          <w:b/>
          <w:bCs/>
          <w:color w:val="1F497D" w:themeColor="text2"/>
          <w:sz w:val="22"/>
          <w:szCs w:val="22"/>
        </w:rPr>
      </w:pPr>
    </w:p>
    <w:tbl>
      <w:tblPr>
        <w:tblStyle w:val="ListTable2-Accent1"/>
        <w:tblW w:w="9691" w:type="dxa"/>
        <w:jc w:val="center"/>
        <w:tblLook w:val="04A0" w:firstRow="1" w:lastRow="0" w:firstColumn="1" w:lastColumn="0" w:noHBand="0" w:noVBand="1"/>
      </w:tblPr>
      <w:tblGrid>
        <w:gridCol w:w="2340"/>
        <w:gridCol w:w="7351"/>
      </w:tblGrid>
      <w:tr w:rsidR="003A6F73" w:rsidRPr="00864153" w14:paraId="50778F6D" w14:textId="77777777" w:rsidTr="7F5CB190">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66B71EE9" w14:textId="77777777" w:rsidR="003A6F73" w:rsidRPr="00342819" w:rsidRDefault="003A6F73" w:rsidP="7F5CB190">
            <w:pPr>
              <w:spacing w:before="60"/>
              <w:ind w:right="-340"/>
              <w:rPr>
                <w:rFonts w:ascii="Arial" w:hAnsi="Arial" w:cs="Arial"/>
                <w:i/>
                <w:iCs/>
                <w:color w:val="1F497D" w:themeColor="text2"/>
                <w:sz w:val="20"/>
              </w:rPr>
            </w:pPr>
            <w:r w:rsidRPr="7F5CB190">
              <w:rPr>
                <w:rFonts w:ascii="Arial" w:hAnsi="Arial" w:cs="Arial"/>
                <w:color w:val="1F497D" w:themeColor="text2"/>
                <w:sz w:val="20"/>
              </w:rPr>
              <w:t>Version</w:t>
            </w:r>
          </w:p>
        </w:tc>
        <w:tc>
          <w:tcPr>
            <w:tcW w:w="7351" w:type="dxa"/>
          </w:tcPr>
          <w:p w14:paraId="1A29CBAE" w14:textId="38D9466A" w:rsidR="003A6F73" w:rsidRPr="00342819" w:rsidRDefault="00E46543" w:rsidP="7F5CB190">
            <w:pPr>
              <w:spacing w:before="60"/>
              <w:ind w:right="-340"/>
              <w:cnfStyle w:val="100000000000" w:firstRow="1" w:lastRow="0" w:firstColumn="0" w:lastColumn="0" w:oddVBand="0" w:evenVBand="0" w:oddHBand="0" w:evenHBand="0" w:firstRowFirstColumn="0" w:firstRowLastColumn="0" w:lastRowFirstColumn="0" w:lastRowLastColumn="0"/>
              <w:rPr>
                <w:rFonts w:ascii="Arial" w:hAnsi="Arial" w:cs="Arial"/>
                <w:color w:val="1F497D" w:themeColor="text2"/>
                <w:sz w:val="20"/>
              </w:rPr>
            </w:pPr>
            <w:r>
              <w:rPr>
                <w:rFonts w:ascii="Arial" w:hAnsi="Arial" w:cs="Arial"/>
                <w:color w:val="1F497D" w:themeColor="text2"/>
                <w:sz w:val="20"/>
              </w:rPr>
              <w:t>1</w:t>
            </w:r>
          </w:p>
        </w:tc>
      </w:tr>
      <w:tr w:rsidR="003A6F73" w:rsidRPr="00864153" w14:paraId="65C51265" w14:textId="77777777" w:rsidTr="7F5CB190">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15C631CD" w14:textId="77777777" w:rsidR="003A6F73" w:rsidRPr="00342819" w:rsidRDefault="003A6F73" w:rsidP="7F5CB190">
            <w:pPr>
              <w:spacing w:before="60"/>
              <w:ind w:right="-340"/>
              <w:rPr>
                <w:rFonts w:ascii="Arial" w:hAnsi="Arial" w:cs="Arial"/>
                <w:b w:val="0"/>
                <w:bCs w:val="0"/>
                <w:color w:val="1F497D" w:themeColor="text2"/>
                <w:sz w:val="20"/>
              </w:rPr>
            </w:pPr>
            <w:r w:rsidRPr="7F5CB190">
              <w:rPr>
                <w:rFonts w:ascii="Arial" w:hAnsi="Arial" w:cs="Arial"/>
                <w:color w:val="1F497D" w:themeColor="text2"/>
                <w:sz w:val="20"/>
              </w:rPr>
              <w:t>Author</w:t>
            </w:r>
          </w:p>
        </w:tc>
        <w:tc>
          <w:tcPr>
            <w:tcW w:w="7351" w:type="dxa"/>
          </w:tcPr>
          <w:p w14:paraId="6F7139D8" w14:textId="56073BD4" w:rsidR="003A6F73" w:rsidRPr="00342819" w:rsidRDefault="00026B99" w:rsidP="7F5CB190">
            <w:pPr>
              <w:spacing w:before="60"/>
              <w:ind w:right="-340"/>
              <w:cnfStyle w:val="000000100000" w:firstRow="0" w:lastRow="0" w:firstColumn="0" w:lastColumn="0" w:oddVBand="0" w:evenVBand="0" w:oddHBand="1" w:evenHBand="0" w:firstRowFirstColumn="0" w:firstRowLastColumn="0" w:lastRowFirstColumn="0" w:lastRowLastColumn="0"/>
              <w:rPr>
                <w:rFonts w:ascii="Arial" w:hAnsi="Arial" w:cs="Arial"/>
                <w:b/>
                <w:bCs/>
                <w:color w:val="1F497D" w:themeColor="text2"/>
                <w:sz w:val="20"/>
              </w:rPr>
            </w:pPr>
            <w:r w:rsidRPr="7F5CB190">
              <w:rPr>
                <w:rFonts w:ascii="Arial" w:hAnsi="Arial" w:cs="Arial"/>
                <w:b/>
                <w:bCs/>
                <w:color w:val="1F497D" w:themeColor="text2"/>
                <w:sz w:val="20"/>
              </w:rPr>
              <w:t>Yasmin Bajwa –</w:t>
            </w:r>
            <w:r w:rsidR="0071160D" w:rsidRPr="7F5CB190">
              <w:rPr>
                <w:rFonts w:ascii="Arial" w:hAnsi="Arial" w:cs="Arial"/>
                <w:b/>
                <w:bCs/>
                <w:color w:val="1F497D" w:themeColor="text2"/>
                <w:sz w:val="20"/>
              </w:rPr>
              <w:t xml:space="preserve"> </w:t>
            </w:r>
            <w:r w:rsidRPr="7F5CB190">
              <w:rPr>
                <w:rFonts w:ascii="Arial" w:hAnsi="Arial" w:cs="Arial"/>
                <w:b/>
                <w:bCs/>
                <w:color w:val="1F497D" w:themeColor="text2"/>
                <w:sz w:val="20"/>
              </w:rPr>
              <w:t>UEC and System Fl</w:t>
            </w:r>
            <w:r w:rsidR="00595629" w:rsidRPr="7F5CB190">
              <w:rPr>
                <w:rFonts w:ascii="Arial" w:hAnsi="Arial" w:cs="Arial"/>
                <w:b/>
                <w:bCs/>
                <w:color w:val="1F497D" w:themeColor="text2"/>
                <w:sz w:val="20"/>
              </w:rPr>
              <w:t xml:space="preserve">ow Programme Manager </w:t>
            </w:r>
          </w:p>
        </w:tc>
      </w:tr>
      <w:tr w:rsidR="003A6F73" w:rsidRPr="00864153" w14:paraId="35A47E4B" w14:textId="77777777" w:rsidTr="7F5CB190">
        <w:trPr>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545FA181" w14:textId="77777777" w:rsidR="003A6F73" w:rsidRPr="00342819" w:rsidRDefault="003A6F73" w:rsidP="7F5CB190">
            <w:pPr>
              <w:spacing w:before="60"/>
              <w:ind w:right="-340"/>
              <w:rPr>
                <w:rFonts w:ascii="Arial" w:hAnsi="Arial" w:cs="Arial"/>
                <w:b w:val="0"/>
                <w:bCs w:val="0"/>
                <w:color w:val="1F497D" w:themeColor="text2"/>
                <w:sz w:val="20"/>
              </w:rPr>
            </w:pPr>
            <w:r w:rsidRPr="7F5CB190">
              <w:rPr>
                <w:rFonts w:ascii="Arial" w:hAnsi="Arial" w:cs="Arial"/>
                <w:color w:val="1F497D" w:themeColor="text2"/>
                <w:sz w:val="20"/>
              </w:rPr>
              <w:t>Sponsor</w:t>
            </w:r>
          </w:p>
        </w:tc>
        <w:tc>
          <w:tcPr>
            <w:tcW w:w="7351" w:type="dxa"/>
          </w:tcPr>
          <w:p w14:paraId="73C3B285" w14:textId="1F365D9A" w:rsidR="003A6F73" w:rsidRPr="00342819" w:rsidRDefault="00ED02D9" w:rsidP="00ED02D9">
            <w:pPr>
              <w:spacing w:before="60"/>
              <w:ind w:right="-340"/>
              <w:cnfStyle w:val="000000000000" w:firstRow="0" w:lastRow="0" w:firstColumn="0" w:lastColumn="0" w:oddVBand="0" w:evenVBand="0" w:oddHBand="0" w:evenHBand="0" w:firstRowFirstColumn="0" w:firstRowLastColumn="0" w:lastRowFirstColumn="0" w:lastRowLastColumn="0"/>
              <w:rPr>
                <w:rFonts w:ascii="Arial" w:hAnsi="Arial" w:cs="Arial"/>
                <w:b/>
                <w:bCs/>
                <w:color w:val="1F497D" w:themeColor="text2"/>
                <w:sz w:val="20"/>
              </w:rPr>
            </w:pPr>
            <w:r w:rsidRPr="00ED02D9">
              <w:rPr>
                <w:rFonts w:ascii="Arial" w:hAnsi="Arial" w:cs="Arial"/>
                <w:b/>
                <w:bCs/>
                <w:color w:val="1F497D" w:themeColor="text2"/>
                <w:sz w:val="20"/>
              </w:rPr>
              <w:t>Caroline Dawe</w:t>
            </w:r>
            <w:r>
              <w:rPr>
                <w:rFonts w:ascii="Arial" w:hAnsi="Arial" w:cs="Arial"/>
                <w:b/>
                <w:bCs/>
                <w:color w:val="1F497D" w:themeColor="text2"/>
                <w:sz w:val="20"/>
              </w:rPr>
              <w:t xml:space="preserve">, </w:t>
            </w:r>
            <w:r w:rsidRPr="00ED02D9">
              <w:rPr>
                <w:rFonts w:ascii="Arial" w:hAnsi="Arial" w:cs="Arial"/>
                <w:b/>
                <w:bCs/>
                <w:color w:val="1F497D" w:themeColor="text2"/>
                <w:sz w:val="20"/>
              </w:rPr>
              <w:t>Director Strategic Commissioning – Value and Delivery</w:t>
            </w:r>
          </w:p>
        </w:tc>
      </w:tr>
      <w:tr w:rsidR="003A6F73" w:rsidRPr="00864153" w14:paraId="571BE11F" w14:textId="77777777" w:rsidTr="7F5CB190">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028DE555" w14:textId="77777777" w:rsidR="003A6F73" w:rsidRPr="00342819" w:rsidRDefault="003A6F73" w:rsidP="7F5CB190">
            <w:pPr>
              <w:spacing w:before="60"/>
              <w:ind w:right="-340"/>
              <w:rPr>
                <w:rFonts w:ascii="Arial" w:hAnsi="Arial" w:cs="Arial"/>
                <w:b w:val="0"/>
                <w:bCs w:val="0"/>
                <w:color w:val="1F497D" w:themeColor="text2"/>
                <w:sz w:val="20"/>
              </w:rPr>
            </w:pPr>
            <w:r w:rsidRPr="7F5CB190">
              <w:rPr>
                <w:rFonts w:ascii="Arial" w:hAnsi="Arial" w:cs="Arial"/>
                <w:color w:val="1F497D" w:themeColor="text2"/>
                <w:sz w:val="20"/>
              </w:rPr>
              <w:t>Approved By</w:t>
            </w:r>
          </w:p>
        </w:tc>
        <w:tc>
          <w:tcPr>
            <w:tcW w:w="7351" w:type="dxa"/>
          </w:tcPr>
          <w:p w14:paraId="18A39871" w14:textId="017B01B4" w:rsidR="003A6F73" w:rsidRPr="00342819" w:rsidRDefault="009306A5" w:rsidP="7F5CB190">
            <w:pPr>
              <w:spacing w:before="60"/>
              <w:ind w:right="-340"/>
              <w:cnfStyle w:val="000000100000" w:firstRow="0" w:lastRow="0" w:firstColumn="0" w:lastColumn="0" w:oddVBand="0" w:evenVBand="0" w:oddHBand="1" w:evenHBand="0" w:firstRowFirstColumn="0" w:firstRowLastColumn="0" w:lastRowFirstColumn="0" w:lastRowLastColumn="0"/>
              <w:rPr>
                <w:rFonts w:ascii="Arial" w:hAnsi="Arial" w:cs="Arial"/>
                <w:b/>
                <w:bCs/>
                <w:color w:val="1F497D" w:themeColor="text2"/>
                <w:sz w:val="20"/>
              </w:rPr>
            </w:pPr>
            <w:r w:rsidRPr="7F5CB190">
              <w:rPr>
                <w:rFonts w:ascii="Arial" w:hAnsi="Arial" w:cs="Arial"/>
                <w:b/>
                <w:bCs/>
                <w:color w:val="1F497D" w:themeColor="text2"/>
                <w:sz w:val="20"/>
              </w:rPr>
              <w:t xml:space="preserve">ICS Strategic Executives </w:t>
            </w:r>
          </w:p>
        </w:tc>
      </w:tr>
      <w:tr w:rsidR="003A6F73" w:rsidRPr="00864153" w14:paraId="1E638684" w14:textId="77777777" w:rsidTr="7F5CB190">
        <w:trPr>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63984A56" w14:textId="77777777" w:rsidR="003A6F73" w:rsidRPr="00342819" w:rsidRDefault="003A6F73" w:rsidP="7F5CB190">
            <w:pPr>
              <w:spacing w:before="60"/>
              <w:ind w:right="-340"/>
              <w:rPr>
                <w:rFonts w:ascii="Arial" w:hAnsi="Arial" w:cs="Arial"/>
                <w:b w:val="0"/>
                <w:bCs w:val="0"/>
                <w:color w:val="1F497D" w:themeColor="text2"/>
                <w:sz w:val="20"/>
              </w:rPr>
            </w:pPr>
            <w:r w:rsidRPr="7F5CB190">
              <w:rPr>
                <w:rFonts w:ascii="Arial" w:hAnsi="Arial" w:cs="Arial"/>
                <w:color w:val="1F497D" w:themeColor="text2"/>
                <w:sz w:val="20"/>
              </w:rPr>
              <w:t>Approval Date</w:t>
            </w:r>
          </w:p>
        </w:tc>
        <w:tc>
          <w:tcPr>
            <w:tcW w:w="7351" w:type="dxa"/>
          </w:tcPr>
          <w:p w14:paraId="6468AA8B" w14:textId="540444B0" w:rsidR="003A6F73" w:rsidRPr="00342819" w:rsidRDefault="00247E5C" w:rsidP="7F5CB190">
            <w:pPr>
              <w:spacing w:before="60"/>
              <w:ind w:right="-340"/>
              <w:cnfStyle w:val="000000000000" w:firstRow="0" w:lastRow="0" w:firstColumn="0" w:lastColumn="0" w:oddVBand="0" w:evenVBand="0" w:oddHBand="0" w:evenHBand="0" w:firstRowFirstColumn="0" w:firstRowLastColumn="0" w:lastRowFirstColumn="0" w:lastRowLastColumn="0"/>
              <w:rPr>
                <w:rFonts w:ascii="Arial" w:hAnsi="Arial" w:cs="Arial"/>
                <w:b/>
                <w:bCs/>
                <w:color w:val="1F497D" w:themeColor="text2"/>
                <w:sz w:val="20"/>
              </w:rPr>
            </w:pPr>
            <w:r>
              <w:rPr>
                <w:rFonts w:ascii="Arial" w:hAnsi="Arial" w:cs="Arial"/>
                <w:b/>
                <w:bCs/>
                <w:color w:val="1F497D" w:themeColor="text2"/>
                <w:sz w:val="20"/>
              </w:rPr>
              <w:t xml:space="preserve">September 2026 </w:t>
            </w:r>
          </w:p>
        </w:tc>
      </w:tr>
      <w:tr w:rsidR="003A6F73" w:rsidRPr="00864153" w14:paraId="0D005961" w14:textId="77777777" w:rsidTr="7F5CB190">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2340" w:type="dxa"/>
          </w:tcPr>
          <w:p w14:paraId="6B2C3EA2" w14:textId="77777777" w:rsidR="003A6F73" w:rsidRPr="00342819" w:rsidRDefault="003A6F73" w:rsidP="7F5CB190">
            <w:pPr>
              <w:spacing w:before="60"/>
              <w:ind w:right="-340"/>
              <w:rPr>
                <w:rFonts w:ascii="Arial" w:hAnsi="Arial" w:cs="Arial"/>
                <w:b w:val="0"/>
                <w:bCs w:val="0"/>
                <w:color w:val="1F497D" w:themeColor="text2"/>
                <w:sz w:val="20"/>
              </w:rPr>
            </w:pPr>
            <w:r w:rsidRPr="7F5CB190">
              <w:rPr>
                <w:rFonts w:ascii="Arial" w:hAnsi="Arial" w:cs="Arial"/>
                <w:color w:val="1F497D" w:themeColor="text2"/>
                <w:sz w:val="20"/>
              </w:rPr>
              <w:t>Review Date</w:t>
            </w:r>
          </w:p>
        </w:tc>
        <w:tc>
          <w:tcPr>
            <w:tcW w:w="7351" w:type="dxa"/>
          </w:tcPr>
          <w:p w14:paraId="1B6BAE09" w14:textId="75033FBB" w:rsidR="003A6F73" w:rsidRPr="00342819" w:rsidRDefault="00664418" w:rsidP="7F5CB190">
            <w:pPr>
              <w:spacing w:before="60"/>
              <w:ind w:right="-340"/>
              <w:cnfStyle w:val="000000100000" w:firstRow="0" w:lastRow="0" w:firstColumn="0" w:lastColumn="0" w:oddVBand="0" w:evenVBand="0" w:oddHBand="1" w:evenHBand="0" w:firstRowFirstColumn="0" w:firstRowLastColumn="0" w:lastRowFirstColumn="0" w:lastRowLastColumn="0"/>
              <w:rPr>
                <w:rFonts w:ascii="Arial" w:hAnsi="Arial" w:cs="Arial"/>
                <w:b/>
                <w:bCs/>
                <w:color w:val="1F497D" w:themeColor="text2"/>
                <w:sz w:val="20"/>
              </w:rPr>
            </w:pPr>
            <w:r w:rsidRPr="7F5CB190">
              <w:rPr>
                <w:rFonts w:ascii="Arial" w:hAnsi="Arial" w:cs="Arial"/>
                <w:b/>
                <w:bCs/>
                <w:color w:val="1F497D" w:themeColor="text2"/>
                <w:sz w:val="20"/>
              </w:rPr>
              <w:t xml:space="preserve">As required </w:t>
            </w:r>
          </w:p>
        </w:tc>
      </w:tr>
    </w:tbl>
    <w:p w14:paraId="35A8DC8B" w14:textId="77777777" w:rsidR="003A6F73" w:rsidRDefault="003A6F73" w:rsidP="00664418">
      <w:pPr>
        <w:ind w:right="-338"/>
        <w:rPr>
          <w:rFonts w:ascii="Arial" w:hAnsi="Arial" w:cs="Arial"/>
          <w:b/>
          <w:bCs/>
          <w:color w:val="1F497D" w:themeColor="text2"/>
          <w:szCs w:val="24"/>
        </w:rPr>
      </w:pPr>
    </w:p>
    <w:p w14:paraId="4F8DDEEE" w14:textId="77777777" w:rsidR="00ED02D9" w:rsidRDefault="00ED02D9">
      <w:pPr>
        <w:widowControl/>
        <w:rPr>
          <w:rFonts w:ascii="Arial" w:hAnsi="Arial" w:cs="Arial"/>
          <w:b/>
          <w:bCs/>
          <w:color w:val="1F497D" w:themeColor="text2"/>
          <w:sz w:val="28"/>
          <w:szCs w:val="28"/>
        </w:rPr>
      </w:pPr>
      <w:r>
        <w:rPr>
          <w:rFonts w:ascii="Arial" w:hAnsi="Arial" w:cs="Arial"/>
          <w:b/>
          <w:bCs/>
          <w:color w:val="1F497D" w:themeColor="text2"/>
          <w:sz w:val="28"/>
          <w:szCs w:val="28"/>
        </w:rPr>
        <w:br w:type="page"/>
      </w:r>
    </w:p>
    <w:p w14:paraId="640E3F3A" w14:textId="03B19AD7" w:rsidR="003A6F73" w:rsidRPr="009306A5" w:rsidRDefault="003A6F73" w:rsidP="003A6F73">
      <w:pPr>
        <w:ind w:right="-338"/>
        <w:rPr>
          <w:rFonts w:ascii="Arial" w:hAnsi="Arial" w:cs="Arial"/>
          <w:b/>
          <w:bCs/>
          <w:color w:val="1F497D" w:themeColor="text2"/>
          <w:sz w:val="28"/>
          <w:szCs w:val="28"/>
        </w:rPr>
      </w:pPr>
      <w:r w:rsidRPr="009306A5">
        <w:rPr>
          <w:rFonts w:ascii="Arial" w:hAnsi="Arial" w:cs="Arial"/>
          <w:b/>
          <w:bCs/>
          <w:color w:val="1F497D" w:themeColor="text2"/>
          <w:sz w:val="28"/>
          <w:szCs w:val="28"/>
        </w:rPr>
        <w:lastRenderedPageBreak/>
        <w:t xml:space="preserve">Version Control </w:t>
      </w:r>
    </w:p>
    <w:p w14:paraId="5E1AC407" w14:textId="77777777" w:rsidR="003A6F73" w:rsidRDefault="003A6F73" w:rsidP="003A6F73">
      <w:pPr>
        <w:ind w:right="-338"/>
        <w:rPr>
          <w:rFonts w:ascii="Arial" w:hAnsi="Arial" w:cs="Arial"/>
          <w:b/>
          <w:bCs/>
          <w:color w:val="1F497D" w:themeColor="text2"/>
          <w:szCs w:val="24"/>
        </w:rPr>
      </w:pPr>
    </w:p>
    <w:tbl>
      <w:tblPr>
        <w:tblStyle w:val="GridTable4-Accent1"/>
        <w:tblW w:w="9298" w:type="dxa"/>
        <w:tblLook w:val="04A0" w:firstRow="1" w:lastRow="0" w:firstColumn="1" w:lastColumn="0" w:noHBand="0" w:noVBand="1"/>
      </w:tblPr>
      <w:tblGrid>
        <w:gridCol w:w="1129"/>
        <w:gridCol w:w="6946"/>
        <w:gridCol w:w="1223"/>
      </w:tblGrid>
      <w:tr w:rsidR="008A11B7" w:rsidRPr="008A11B7" w14:paraId="10F991C6" w14:textId="77777777" w:rsidTr="007D6DEF">
        <w:trPr>
          <w:cnfStyle w:val="100000000000" w:firstRow="1" w:lastRow="0" w:firstColumn="0" w:lastColumn="0" w:oddVBand="0" w:evenVBand="0" w:oddHBand="0"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48A982FB" w14:textId="77777777" w:rsidR="008A11B7" w:rsidRPr="009306A5" w:rsidRDefault="008A11B7" w:rsidP="008A11B7">
            <w:pPr>
              <w:ind w:right="-338"/>
              <w:rPr>
                <w:rFonts w:ascii="Arial" w:hAnsi="Arial" w:cs="Arial"/>
                <w:szCs w:val="24"/>
              </w:rPr>
            </w:pPr>
            <w:r w:rsidRPr="009306A5">
              <w:rPr>
                <w:rFonts w:ascii="Arial" w:hAnsi="Arial" w:cs="Arial"/>
                <w:szCs w:val="24"/>
              </w:rPr>
              <w:t xml:space="preserve">Version </w:t>
            </w:r>
          </w:p>
          <w:p w14:paraId="5B74F476" w14:textId="28AE7ACB" w:rsidR="008A11B7" w:rsidRPr="009306A5" w:rsidRDefault="008A11B7" w:rsidP="008A11B7">
            <w:pPr>
              <w:ind w:right="-338"/>
              <w:rPr>
                <w:rFonts w:ascii="Arial" w:hAnsi="Arial" w:cs="Arial"/>
                <w:szCs w:val="24"/>
              </w:rPr>
            </w:pPr>
            <w:r w:rsidRPr="009306A5">
              <w:rPr>
                <w:rFonts w:ascii="Arial" w:hAnsi="Arial" w:cs="Arial"/>
                <w:szCs w:val="24"/>
              </w:rPr>
              <w:t>Number</w:t>
            </w:r>
          </w:p>
        </w:tc>
        <w:tc>
          <w:tcPr>
            <w:tcW w:w="6946" w:type="dxa"/>
            <w:vAlign w:val="center"/>
          </w:tcPr>
          <w:p w14:paraId="30D33DF1" w14:textId="5DDCF4DD" w:rsidR="008A11B7" w:rsidRPr="009306A5" w:rsidRDefault="008A11B7" w:rsidP="008A11B7">
            <w:pPr>
              <w:ind w:right="-338"/>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sidRPr="009306A5">
              <w:rPr>
                <w:rFonts w:ascii="Arial" w:hAnsi="Arial" w:cs="Arial"/>
                <w:szCs w:val="24"/>
              </w:rPr>
              <w:t>Summary of Change</w:t>
            </w:r>
          </w:p>
        </w:tc>
        <w:tc>
          <w:tcPr>
            <w:tcW w:w="1223" w:type="dxa"/>
            <w:vAlign w:val="center"/>
          </w:tcPr>
          <w:p w14:paraId="32FC0FAF" w14:textId="394CE9F2" w:rsidR="008A11B7" w:rsidRPr="009306A5" w:rsidRDefault="008A11B7" w:rsidP="008A11B7">
            <w:pPr>
              <w:ind w:right="-338"/>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sidRPr="009306A5">
              <w:rPr>
                <w:rFonts w:ascii="Arial" w:hAnsi="Arial" w:cs="Arial"/>
                <w:szCs w:val="24"/>
              </w:rPr>
              <w:t>Date</w:t>
            </w:r>
          </w:p>
        </w:tc>
      </w:tr>
      <w:tr w:rsidR="0078324C" w:rsidRPr="008A11B7" w14:paraId="7CE384DE" w14:textId="77777777" w:rsidTr="009306A5">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5A292FE" w14:textId="33239D5E" w:rsidR="0078324C" w:rsidRPr="00893AC5" w:rsidRDefault="00965332" w:rsidP="00FF4380">
            <w:pPr>
              <w:ind w:right="-338"/>
              <w:rPr>
                <w:rFonts w:ascii="Arial" w:hAnsi="Arial" w:cs="Arial"/>
                <w:color w:val="1F497D" w:themeColor="text2"/>
                <w:sz w:val="20"/>
              </w:rPr>
            </w:pPr>
            <w:r>
              <w:rPr>
                <w:rFonts w:ascii="Arial" w:hAnsi="Arial" w:cs="Arial"/>
                <w:color w:val="1F497D" w:themeColor="text2"/>
                <w:sz w:val="20"/>
              </w:rPr>
              <w:t>1</w:t>
            </w:r>
          </w:p>
        </w:tc>
        <w:tc>
          <w:tcPr>
            <w:tcW w:w="6946" w:type="dxa"/>
            <w:vAlign w:val="center"/>
          </w:tcPr>
          <w:p w14:paraId="18EDC55C" w14:textId="12E019A3" w:rsidR="0078324C" w:rsidRPr="00893AC5" w:rsidRDefault="00214134" w:rsidP="00FF4380">
            <w:pPr>
              <w:ind w:right="-338"/>
              <w:cnfStyle w:val="000000100000" w:firstRow="0" w:lastRow="0" w:firstColumn="0" w:lastColumn="0" w:oddVBand="0" w:evenVBand="0" w:oddHBand="1" w:evenHBand="0" w:firstRowFirstColumn="0" w:firstRowLastColumn="0" w:lastRowFirstColumn="0" w:lastRowLastColumn="0"/>
              <w:rPr>
                <w:rFonts w:ascii="Arial" w:hAnsi="Arial" w:cs="Arial"/>
                <w:color w:val="1F497D" w:themeColor="text2"/>
                <w:sz w:val="20"/>
              </w:rPr>
            </w:pPr>
            <w:r>
              <w:rPr>
                <w:rFonts w:ascii="Arial" w:hAnsi="Arial" w:cs="Arial"/>
                <w:color w:val="1F497D" w:themeColor="text2"/>
                <w:sz w:val="20"/>
              </w:rPr>
              <w:t xml:space="preserve">Final </w:t>
            </w:r>
            <w:r w:rsidR="0078324C">
              <w:rPr>
                <w:rFonts w:ascii="Arial" w:hAnsi="Arial" w:cs="Arial"/>
                <w:color w:val="1F497D" w:themeColor="text2"/>
                <w:sz w:val="20"/>
              </w:rPr>
              <w:t xml:space="preserve">Draft </w:t>
            </w:r>
          </w:p>
        </w:tc>
        <w:tc>
          <w:tcPr>
            <w:tcW w:w="1223" w:type="dxa"/>
            <w:vAlign w:val="center"/>
          </w:tcPr>
          <w:p w14:paraId="74B91EE7" w14:textId="13BC4CFD" w:rsidR="0078324C" w:rsidRPr="00893AC5" w:rsidRDefault="00ED02D9" w:rsidP="00FF4380">
            <w:pPr>
              <w:ind w:right="-338"/>
              <w:cnfStyle w:val="000000100000" w:firstRow="0" w:lastRow="0" w:firstColumn="0" w:lastColumn="0" w:oddVBand="0" w:evenVBand="0" w:oddHBand="1" w:evenHBand="0" w:firstRowFirstColumn="0" w:firstRowLastColumn="0" w:lastRowFirstColumn="0" w:lastRowLastColumn="0"/>
              <w:rPr>
                <w:rFonts w:ascii="Arial" w:hAnsi="Arial" w:cs="Arial"/>
                <w:b/>
                <w:bCs/>
                <w:color w:val="1F497D" w:themeColor="text2"/>
                <w:sz w:val="20"/>
              </w:rPr>
            </w:pPr>
            <w:r>
              <w:rPr>
                <w:rFonts w:ascii="Arial" w:hAnsi="Arial" w:cs="Arial"/>
                <w:b/>
                <w:bCs/>
                <w:color w:val="1F497D" w:themeColor="text2"/>
                <w:sz w:val="20"/>
              </w:rPr>
              <w:t>07</w:t>
            </w:r>
            <w:r w:rsidR="00C147E1">
              <w:rPr>
                <w:rFonts w:ascii="Arial" w:hAnsi="Arial" w:cs="Arial"/>
                <w:b/>
                <w:bCs/>
                <w:color w:val="1F497D" w:themeColor="text2"/>
                <w:sz w:val="20"/>
              </w:rPr>
              <w:t>.0</w:t>
            </w:r>
            <w:r w:rsidR="00965332">
              <w:rPr>
                <w:rFonts w:ascii="Arial" w:hAnsi="Arial" w:cs="Arial"/>
                <w:b/>
                <w:bCs/>
                <w:color w:val="1F497D" w:themeColor="text2"/>
                <w:sz w:val="20"/>
              </w:rPr>
              <w:t>9</w:t>
            </w:r>
            <w:r w:rsidR="00C147E1">
              <w:rPr>
                <w:rFonts w:ascii="Arial" w:hAnsi="Arial" w:cs="Arial"/>
                <w:b/>
                <w:bCs/>
                <w:color w:val="1F497D" w:themeColor="text2"/>
                <w:sz w:val="20"/>
              </w:rPr>
              <w:t>.2026</w:t>
            </w:r>
          </w:p>
        </w:tc>
      </w:tr>
      <w:tr w:rsidR="00214134" w:rsidRPr="008A11B7" w14:paraId="7ECAB47E" w14:textId="77777777" w:rsidTr="009306A5">
        <w:trPr>
          <w:cantSplit/>
          <w:trHeight w:val="567"/>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02C5765" w14:textId="09ACED16" w:rsidR="00214134" w:rsidRDefault="00214134" w:rsidP="00FF4380">
            <w:pPr>
              <w:ind w:right="-338"/>
              <w:rPr>
                <w:rFonts w:ascii="Arial" w:hAnsi="Arial" w:cs="Arial"/>
                <w:color w:val="1F497D" w:themeColor="text2"/>
                <w:sz w:val="20"/>
              </w:rPr>
            </w:pPr>
          </w:p>
        </w:tc>
        <w:tc>
          <w:tcPr>
            <w:tcW w:w="6946" w:type="dxa"/>
            <w:vAlign w:val="center"/>
          </w:tcPr>
          <w:p w14:paraId="502190C9" w14:textId="54112598" w:rsidR="00214134" w:rsidRDefault="00214134" w:rsidP="00FF4380">
            <w:pPr>
              <w:ind w:right="-338"/>
              <w:cnfStyle w:val="000000000000" w:firstRow="0" w:lastRow="0" w:firstColumn="0" w:lastColumn="0" w:oddVBand="0" w:evenVBand="0" w:oddHBand="0" w:evenHBand="0" w:firstRowFirstColumn="0" w:firstRowLastColumn="0" w:lastRowFirstColumn="0" w:lastRowLastColumn="0"/>
              <w:rPr>
                <w:rFonts w:ascii="Arial" w:hAnsi="Arial" w:cs="Arial"/>
                <w:color w:val="1F497D" w:themeColor="text2"/>
                <w:sz w:val="20"/>
              </w:rPr>
            </w:pPr>
          </w:p>
        </w:tc>
        <w:tc>
          <w:tcPr>
            <w:tcW w:w="1223" w:type="dxa"/>
            <w:vAlign w:val="center"/>
          </w:tcPr>
          <w:p w14:paraId="32BC59B8" w14:textId="4D51BECA" w:rsidR="00214134" w:rsidRDefault="00214134" w:rsidP="00FF4380">
            <w:pPr>
              <w:ind w:right="-338"/>
              <w:cnfStyle w:val="000000000000" w:firstRow="0" w:lastRow="0" w:firstColumn="0" w:lastColumn="0" w:oddVBand="0" w:evenVBand="0" w:oddHBand="0" w:evenHBand="0" w:firstRowFirstColumn="0" w:firstRowLastColumn="0" w:lastRowFirstColumn="0" w:lastRowLastColumn="0"/>
              <w:rPr>
                <w:rFonts w:ascii="Arial" w:hAnsi="Arial" w:cs="Arial"/>
                <w:b/>
                <w:bCs/>
                <w:color w:val="1F497D" w:themeColor="text2"/>
                <w:sz w:val="20"/>
              </w:rPr>
            </w:pPr>
          </w:p>
        </w:tc>
      </w:tr>
    </w:tbl>
    <w:p w14:paraId="6598BE82" w14:textId="77777777" w:rsidR="003A6F73" w:rsidRDefault="003A6F73" w:rsidP="003A6F73">
      <w:pPr>
        <w:ind w:right="-338"/>
        <w:rPr>
          <w:rFonts w:ascii="Arial" w:hAnsi="Arial" w:cs="Arial"/>
          <w:b/>
          <w:bCs/>
          <w:color w:val="1F497D" w:themeColor="text2"/>
          <w:szCs w:val="24"/>
        </w:rPr>
      </w:pPr>
    </w:p>
    <w:p w14:paraId="3A3F8929" w14:textId="77777777" w:rsidR="003A6F73" w:rsidRDefault="003A6F73" w:rsidP="00D5739F">
      <w:pPr>
        <w:ind w:right="-338"/>
        <w:jc w:val="center"/>
        <w:rPr>
          <w:rFonts w:ascii="Arial" w:hAnsi="Arial" w:cs="Arial"/>
          <w:b/>
          <w:bCs/>
          <w:color w:val="1F497D" w:themeColor="text2"/>
          <w:szCs w:val="24"/>
        </w:rPr>
      </w:pPr>
    </w:p>
    <w:p w14:paraId="1D29DC37" w14:textId="77777777" w:rsidR="003A6F73" w:rsidRDefault="003A6F73" w:rsidP="00D5739F">
      <w:pPr>
        <w:ind w:right="-338"/>
        <w:jc w:val="center"/>
        <w:rPr>
          <w:rFonts w:ascii="Arial" w:hAnsi="Arial" w:cs="Arial"/>
          <w:b/>
          <w:bCs/>
          <w:color w:val="1F497D" w:themeColor="text2"/>
          <w:szCs w:val="24"/>
        </w:rPr>
      </w:pPr>
    </w:p>
    <w:p w14:paraId="7ECF62EA" w14:textId="77777777" w:rsidR="003A6F73" w:rsidRDefault="003A6F73" w:rsidP="00D5739F">
      <w:pPr>
        <w:ind w:right="-338"/>
        <w:jc w:val="center"/>
        <w:rPr>
          <w:rFonts w:ascii="Arial" w:hAnsi="Arial" w:cs="Arial"/>
          <w:b/>
          <w:bCs/>
          <w:color w:val="1F497D" w:themeColor="text2"/>
          <w:szCs w:val="24"/>
        </w:rPr>
      </w:pPr>
    </w:p>
    <w:p w14:paraId="66F1975D" w14:textId="77777777" w:rsidR="003A6F73" w:rsidRDefault="003A6F73" w:rsidP="00D5739F">
      <w:pPr>
        <w:ind w:right="-338"/>
        <w:jc w:val="center"/>
        <w:rPr>
          <w:rFonts w:ascii="Arial" w:hAnsi="Arial" w:cs="Arial"/>
          <w:b/>
          <w:bCs/>
          <w:color w:val="1F497D" w:themeColor="text2"/>
          <w:szCs w:val="24"/>
        </w:rPr>
      </w:pPr>
    </w:p>
    <w:p w14:paraId="4A83B5E5" w14:textId="77777777" w:rsidR="003A6F73" w:rsidRDefault="003A6F73" w:rsidP="00D5739F">
      <w:pPr>
        <w:ind w:right="-338"/>
        <w:jc w:val="center"/>
        <w:rPr>
          <w:rFonts w:ascii="Arial" w:hAnsi="Arial" w:cs="Arial"/>
          <w:b/>
          <w:bCs/>
          <w:color w:val="1F497D" w:themeColor="text2"/>
          <w:szCs w:val="24"/>
        </w:rPr>
      </w:pPr>
    </w:p>
    <w:p w14:paraId="45AAF46C" w14:textId="77777777" w:rsidR="003A6F73" w:rsidRDefault="003A6F73" w:rsidP="00D5739F">
      <w:pPr>
        <w:ind w:right="-338"/>
        <w:jc w:val="center"/>
        <w:rPr>
          <w:rFonts w:ascii="Arial" w:hAnsi="Arial" w:cs="Arial"/>
          <w:b/>
          <w:bCs/>
          <w:color w:val="1F497D" w:themeColor="text2"/>
          <w:szCs w:val="24"/>
        </w:rPr>
      </w:pPr>
    </w:p>
    <w:p w14:paraId="140EF151" w14:textId="77777777" w:rsidR="003A6F73" w:rsidRDefault="003A6F73" w:rsidP="00D5739F">
      <w:pPr>
        <w:ind w:right="-338"/>
        <w:jc w:val="center"/>
        <w:rPr>
          <w:rFonts w:ascii="Arial" w:hAnsi="Arial" w:cs="Arial"/>
          <w:b/>
          <w:bCs/>
          <w:color w:val="1F497D" w:themeColor="text2"/>
          <w:szCs w:val="24"/>
        </w:rPr>
      </w:pPr>
    </w:p>
    <w:p w14:paraId="0DAC4830" w14:textId="77777777" w:rsidR="008A11B7" w:rsidRDefault="008A11B7" w:rsidP="00D5739F">
      <w:pPr>
        <w:ind w:right="-338"/>
        <w:jc w:val="center"/>
        <w:rPr>
          <w:rFonts w:ascii="Arial" w:hAnsi="Arial" w:cs="Arial"/>
          <w:b/>
          <w:bCs/>
          <w:color w:val="1F497D" w:themeColor="text2"/>
          <w:szCs w:val="24"/>
        </w:rPr>
      </w:pPr>
    </w:p>
    <w:p w14:paraId="0D5D3FC6" w14:textId="77777777" w:rsidR="008A11B7" w:rsidRDefault="008A11B7" w:rsidP="00D5739F">
      <w:pPr>
        <w:ind w:right="-338"/>
        <w:jc w:val="center"/>
        <w:rPr>
          <w:rFonts w:ascii="Arial" w:hAnsi="Arial" w:cs="Arial"/>
          <w:b/>
          <w:bCs/>
          <w:color w:val="1F497D" w:themeColor="text2"/>
          <w:szCs w:val="24"/>
        </w:rPr>
      </w:pPr>
    </w:p>
    <w:p w14:paraId="3D393D35" w14:textId="77777777" w:rsidR="003A6F73" w:rsidRDefault="003A6F73" w:rsidP="00D5739F">
      <w:pPr>
        <w:ind w:right="-338"/>
        <w:jc w:val="center"/>
        <w:rPr>
          <w:rFonts w:ascii="Arial" w:hAnsi="Arial" w:cs="Arial"/>
          <w:b/>
          <w:bCs/>
          <w:color w:val="1F497D" w:themeColor="text2"/>
          <w:szCs w:val="24"/>
        </w:rPr>
      </w:pPr>
    </w:p>
    <w:p w14:paraId="5C80E7FF" w14:textId="77777777" w:rsidR="003A6F73" w:rsidRDefault="003A6F73" w:rsidP="00D5739F">
      <w:pPr>
        <w:ind w:right="-338"/>
        <w:jc w:val="center"/>
        <w:rPr>
          <w:rFonts w:ascii="Arial" w:hAnsi="Arial" w:cs="Arial"/>
          <w:b/>
          <w:bCs/>
          <w:color w:val="1F497D" w:themeColor="text2"/>
          <w:szCs w:val="24"/>
        </w:rPr>
      </w:pPr>
    </w:p>
    <w:p w14:paraId="3747B7EC" w14:textId="77777777" w:rsidR="003A6F73" w:rsidRDefault="003A6F73" w:rsidP="00D5739F">
      <w:pPr>
        <w:ind w:right="-338"/>
        <w:jc w:val="center"/>
        <w:rPr>
          <w:rFonts w:ascii="Arial" w:hAnsi="Arial" w:cs="Arial"/>
          <w:b/>
          <w:bCs/>
          <w:color w:val="1F497D" w:themeColor="text2"/>
          <w:szCs w:val="24"/>
        </w:rPr>
      </w:pPr>
    </w:p>
    <w:p w14:paraId="0520CFC1" w14:textId="77777777" w:rsidR="003A6F73" w:rsidRDefault="003A6F73" w:rsidP="00D5739F">
      <w:pPr>
        <w:ind w:right="-338"/>
        <w:jc w:val="center"/>
        <w:rPr>
          <w:rFonts w:ascii="Arial" w:hAnsi="Arial" w:cs="Arial"/>
          <w:b/>
          <w:bCs/>
          <w:color w:val="1F497D" w:themeColor="text2"/>
          <w:szCs w:val="24"/>
        </w:rPr>
      </w:pPr>
    </w:p>
    <w:p w14:paraId="54A8DC99" w14:textId="77777777" w:rsidR="003A6F73" w:rsidRDefault="003A6F73" w:rsidP="00D5739F">
      <w:pPr>
        <w:ind w:right="-338"/>
        <w:jc w:val="center"/>
        <w:rPr>
          <w:rFonts w:ascii="Arial" w:hAnsi="Arial" w:cs="Arial"/>
          <w:b/>
          <w:bCs/>
          <w:color w:val="1F497D" w:themeColor="text2"/>
          <w:szCs w:val="24"/>
        </w:rPr>
      </w:pPr>
    </w:p>
    <w:p w14:paraId="146EDD4B" w14:textId="77777777" w:rsidR="00214134" w:rsidRDefault="00214134" w:rsidP="00D5739F">
      <w:pPr>
        <w:ind w:right="-338"/>
        <w:jc w:val="center"/>
        <w:rPr>
          <w:rFonts w:ascii="Arial" w:hAnsi="Arial" w:cs="Arial"/>
          <w:b/>
          <w:bCs/>
          <w:color w:val="1F497D" w:themeColor="text2"/>
          <w:szCs w:val="24"/>
        </w:rPr>
      </w:pPr>
    </w:p>
    <w:p w14:paraId="48D472B0" w14:textId="77777777" w:rsidR="00214134" w:rsidRDefault="00214134" w:rsidP="00D5739F">
      <w:pPr>
        <w:ind w:right="-338"/>
        <w:jc w:val="center"/>
        <w:rPr>
          <w:rFonts w:ascii="Arial" w:hAnsi="Arial" w:cs="Arial"/>
          <w:b/>
          <w:bCs/>
          <w:color w:val="1F497D" w:themeColor="text2"/>
          <w:szCs w:val="24"/>
        </w:rPr>
      </w:pPr>
    </w:p>
    <w:p w14:paraId="6005D8E5" w14:textId="77777777" w:rsidR="00214134" w:rsidRDefault="00214134" w:rsidP="00D5739F">
      <w:pPr>
        <w:ind w:right="-338"/>
        <w:jc w:val="center"/>
        <w:rPr>
          <w:rFonts w:ascii="Arial" w:hAnsi="Arial" w:cs="Arial"/>
          <w:b/>
          <w:bCs/>
          <w:color w:val="1F497D" w:themeColor="text2"/>
          <w:szCs w:val="24"/>
        </w:rPr>
      </w:pPr>
    </w:p>
    <w:p w14:paraId="5A2DE9BB" w14:textId="77777777" w:rsidR="00214134" w:rsidRDefault="00214134" w:rsidP="00D5739F">
      <w:pPr>
        <w:ind w:right="-338"/>
        <w:jc w:val="center"/>
        <w:rPr>
          <w:rFonts w:ascii="Arial" w:hAnsi="Arial" w:cs="Arial"/>
          <w:b/>
          <w:bCs/>
          <w:color w:val="1F497D" w:themeColor="text2"/>
          <w:szCs w:val="24"/>
        </w:rPr>
      </w:pPr>
    </w:p>
    <w:p w14:paraId="151FE6BE" w14:textId="77777777" w:rsidR="00214134" w:rsidRDefault="00214134" w:rsidP="00D5739F">
      <w:pPr>
        <w:ind w:right="-338"/>
        <w:jc w:val="center"/>
        <w:rPr>
          <w:rFonts w:ascii="Arial" w:hAnsi="Arial" w:cs="Arial"/>
          <w:b/>
          <w:bCs/>
          <w:color w:val="1F497D" w:themeColor="text2"/>
          <w:szCs w:val="24"/>
        </w:rPr>
      </w:pPr>
    </w:p>
    <w:p w14:paraId="5242D480" w14:textId="77777777" w:rsidR="00214134" w:rsidRDefault="00214134" w:rsidP="00D5739F">
      <w:pPr>
        <w:ind w:right="-338"/>
        <w:jc w:val="center"/>
        <w:rPr>
          <w:rFonts w:ascii="Arial" w:hAnsi="Arial" w:cs="Arial"/>
          <w:b/>
          <w:bCs/>
          <w:color w:val="1F497D" w:themeColor="text2"/>
          <w:szCs w:val="24"/>
        </w:rPr>
      </w:pPr>
    </w:p>
    <w:p w14:paraId="4F763C73" w14:textId="77777777" w:rsidR="00214134" w:rsidRDefault="00214134" w:rsidP="00D5739F">
      <w:pPr>
        <w:ind w:right="-338"/>
        <w:jc w:val="center"/>
        <w:rPr>
          <w:rFonts w:ascii="Arial" w:hAnsi="Arial" w:cs="Arial"/>
          <w:b/>
          <w:bCs/>
          <w:color w:val="1F497D" w:themeColor="text2"/>
          <w:szCs w:val="24"/>
        </w:rPr>
      </w:pPr>
    </w:p>
    <w:p w14:paraId="5FF4E930" w14:textId="77777777" w:rsidR="00214134" w:rsidRDefault="00214134" w:rsidP="00D5739F">
      <w:pPr>
        <w:ind w:right="-338"/>
        <w:jc w:val="center"/>
        <w:rPr>
          <w:rFonts w:ascii="Arial" w:hAnsi="Arial" w:cs="Arial"/>
          <w:b/>
          <w:bCs/>
          <w:color w:val="1F497D" w:themeColor="text2"/>
          <w:szCs w:val="24"/>
        </w:rPr>
      </w:pPr>
    </w:p>
    <w:p w14:paraId="6B11D14A" w14:textId="77777777" w:rsidR="00214134" w:rsidRDefault="00214134" w:rsidP="00D5739F">
      <w:pPr>
        <w:ind w:right="-338"/>
        <w:jc w:val="center"/>
        <w:rPr>
          <w:rFonts w:ascii="Arial" w:hAnsi="Arial" w:cs="Arial"/>
          <w:b/>
          <w:bCs/>
          <w:color w:val="1F497D" w:themeColor="text2"/>
          <w:szCs w:val="24"/>
        </w:rPr>
      </w:pPr>
    </w:p>
    <w:p w14:paraId="291804B2" w14:textId="77777777" w:rsidR="00214134" w:rsidRDefault="00214134" w:rsidP="00D5739F">
      <w:pPr>
        <w:ind w:right="-338"/>
        <w:jc w:val="center"/>
        <w:rPr>
          <w:rFonts w:ascii="Arial" w:hAnsi="Arial" w:cs="Arial"/>
          <w:b/>
          <w:bCs/>
          <w:color w:val="1F497D" w:themeColor="text2"/>
          <w:szCs w:val="24"/>
        </w:rPr>
      </w:pPr>
    </w:p>
    <w:p w14:paraId="4E467A08" w14:textId="77777777" w:rsidR="00214134" w:rsidRDefault="00214134" w:rsidP="00D5739F">
      <w:pPr>
        <w:ind w:right="-338"/>
        <w:jc w:val="center"/>
        <w:rPr>
          <w:rFonts w:ascii="Arial" w:hAnsi="Arial" w:cs="Arial"/>
          <w:b/>
          <w:bCs/>
          <w:color w:val="1F497D" w:themeColor="text2"/>
          <w:szCs w:val="24"/>
        </w:rPr>
      </w:pPr>
    </w:p>
    <w:p w14:paraId="075CC39B" w14:textId="77777777" w:rsidR="00214134" w:rsidRDefault="00214134" w:rsidP="00D5739F">
      <w:pPr>
        <w:ind w:right="-338"/>
        <w:jc w:val="center"/>
        <w:rPr>
          <w:rFonts w:ascii="Arial" w:hAnsi="Arial" w:cs="Arial"/>
          <w:b/>
          <w:bCs/>
          <w:color w:val="1F497D" w:themeColor="text2"/>
          <w:szCs w:val="24"/>
        </w:rPr>
      </w:pPr>
    </w:p>
    <w:p w14:paraId="11449E44" w14:textId="77777777" w:rsidR="003A6F73" w:rsidRDefault="003A6F73" w:rsidP="00D5739F">
      <w:pPr>
        <w:ind w:right="-338"/>
        <w:jc w:val="center"/>
        <w:rPr>
          <w:rFonts w:ascii="Arial" w:hAnsi="Arial" w:cs="Arial"/>
          <w:b/>
          <w:bCs/>
          <w:color w:val="1F497D" w:themeColor="text2"/>
          <w:szCs w:val="24"/>
        </w:rPr>
      </w:pPr>
    </w:p>
    <w:p w14:paraId="740CFDFF" w14:textId="77777777" w:rsidR="003A6F73" w:rsidRDefault="003A6F73" w:rsidP="00D5739F">
      <w:pPr>
        <w:ind w:right="-338"/>
        <w:jc w:val="center"/>
        <w:rPr>
          <w:rFonts w:ascii="Arial" w:hAnsi="Arial" w:cs="Arial"/>
          <w:b/>
          <w:bCs/>
          <w:color w:val="1F497D" w:themeColor="text2"/>
          <w:szCs w:val="24"/>
        </w:rPr>
      </w:pPr>
    </w:p>
    <w:p w14:paraId="0F3487F1" w14:textId="77777777" w:rsidR="003A6F73" w:rsidRDefault="003A6F73" w:rsidP="00D5739F">
      <w:pPr>
        <w:ind w:right="-338"/>
        <w:jc w:val="center"/>
        <w:rPr>
          <w:rFonts w:ascii="Arial" w:hAnsi="Arial" w:cs="Arial"/>
          <w:b/>
          <w:bCs/>
          <w:color w:val="1F497D" w:themeColor="text2"/>
          <w:szCs w:val="24"/>
        </w:rPr>
      </w:pPr>
    </w:p>
    <w:p w14:paraId="2C3A2466" w14:textId="77777777" w:rsidR="003A6F73" w:rsidRDefault="003A6F73" w:rsidP="00D5739F">
      <w:pPr>
        <w:ind w:right="-338"/>
        <w:jc w:val="center"/>
        <w:rPr>
          <w:rFonts w:ascii="Arial" w:hAnsi="Arial" w:cs="Arial"/>
          <w:b/>
          <w:bCs/>
          <w:color w:val="1F497D" w:themeColor="text2"/>
          <w:szCs w:val="24"/>
        </w:rPr>
      </w:pPr>
    </w:p>
    <w:p w14:paraId="1ED3F8BC" w14:textId="77777777" w:rsidR="003A6F73" w:rsidRDefault="003A6F73" w:rsidP="00D5739F">
      <w:pPr>
        <w:ind w:right="-338"/>
        <w:jc w:val="center"/>
        <w:rPr>
          <w:rFonts w:ascii="Arial" w:hAnsi="Arial" w:cs="Arial"/>
          <w:b/>
          <w:bCs/>
          <w:color w:val="1F497D" w:themeColor="text2"/>
          <w:szCs w:val="24"/>
        </w:rPr>
      </w:pPr>
    </w:p>
    <w:p w14:paraId="46E7DE7A" w14:textId="77777777" w:rsidR="003A6F73" w:rsidRDefault="003A6F73" w:rsidP="00D5739F">
      <w:pPr>
        <w:ind w:right="-338"/>
        <w:jc w:val="center"/>
        <w:rPr>
          <w:rFonts w:ascii="Arial" w:hAnsi="Arial" w:cs="Arial"/>
          <w:b/>
          <w:bCs/>
          <w:color w:val="1F497D" w:themeColor="text2"/>
          <w:szCs w:val="24"/>
        </w:rPr>
      </w:pPr>
    </w:p>
    <w:p w14:paraId="130B0B6E" w14:textId="77777777" w:rsidR="003A6F73" w:rsidRDefault="003A6F73" w:rsidP="00D5739F">
      <w:pPr>
        <w:ind w:right="-338"/>
        <w:jc w:val="center"/>
        <w:rPr>
          <w:rFonts w:ascii="Arial" w:hAnsi="Arial" w:cs="Arial"/>
          <w:b/>
          <w:bCs/>
          <w:color w:val="1F497D" w:themeColor="text2"/>
          <w:szCs w:val="24"/>
        </w:rPr>
      </w:pPr>
    </w:p>
    <w:p w14:paraId="1A008A6A" w14:textId="77777777" w:rsidR="003A6F73" w:rsidRDefault="003A6F73" w:rsidP="00D5739F">
      <w:pPr>
        <w:ind w:right="-338"/>
        <w:jc w:val="center"/>
        <w:rPr>
          <w:rFonts w:ascii="Arial" w:hAnsi="Arial" w:cs="Arial"/>
          <w:b/>
          <w:bCs/>
          <w:color w:val="1F497D" w:themeColor="text2"/>
          <w:szCs w:val="24"/>
        </w:rPr>
      </w:pPr>
    </w:p>
    <w:p w14:paraId="49419F5A" w14:textId="77777777" w:rsidR="003A6F73" w:rsidRDefault="003A6F73" w:rsidP="00D5739F">
      <w:pPr>
        <w:ind w:right="-338"/>
        <w:jc w:val="center"/>
        <w:rPr>
          <w:rFonts w:ascii="Arial" w:hAnsi="Arial" w:cs="Arial"/>
          <w:b/>
          <w:bCs/>
          <w:color w:val="1F497D" w:themeColor="text2"/>
          <w:szCs w:val="24"/>
        </w:rPr>
      </w:pPr>
    </w:p>
    <w:p w14:paraId="32B01F06" w14:textId="77777777" w:rsidR="009306A5" w:rsidRDefault="009306A5" w:rsidP="00D5739F">
      <w:pPr>
        <w:ind w:right="-338"/>
        <w:jc w:val="center"/>
        <w:rPr>
          <w:rFonts w:ascii="Arial" w:hAnsi="Arial" w:cs="Arial"/>
          <w:b/>
          <w:bCs/>
          <w:color w:val="1F497D" w:themeColor="text2"/>
          <w:szCs w:val="24"/>
        </w:rPr>
      </w:pPr>
    </w:p>
    <w:p w14:paraId="74EC481A" w14:textId="77777777" w:rsidR="003A6F73" w:rsidRDefault="003A6F73" w:rsidP="00D5739F">
      <w:pPr>
        <w:ind w:right="-338"/>
        <w:jc w:val="center"/>
        <w:rPr>
          <w:rFonts w:ascii="Arial" w:hAnsi="Arial" w:cs="Arial"/>
          <w:b/>
          <w:bCs/>
          <w:color w:val="1F497D" w:themeColor="text2"/>
          <w:szCs w:val="24"/>
        </w:rPr>
      </w:pPr>
    </w:p>
    <w:p w14:paraId="6760FD28" w14:textId="77777777" w:rsidR="003A6F73" w:rsidRDefault="003A6F73" w:rsidP="00D5739F">
      <w:pPr>
        <w:ind w:right="-338"/>
        <w:jc w:val="center"/>
        <w:rPr>
          <w:rFonts w:ascii="Arial" w:hAnsi="Arial" w:cs="Arial"/>
          <w:b/>
          <w:bCs/>
          <w:color w:val="1F497D" w:themeColor="text2"/>
          <w:szCs w:val="24"/>
        </w:rPr>
      </w:pPr>
    </w:p>
    <w:p w14:paraId="4726BD58" w14:textId="77777777" w:rsidR="003A6F73" w:rsidRDefault="003A6F73" w:rsidP="00D5739F">
      <w:pPr>
        <w:ind w:right="-338"/>
        <w:jc w:val="center"/>
        <w:rPr>
          <w:rFonts w:ascii="Arial" w:hAnsi="Arial" w:cs="Arial"/>
          <w:b/>
          <w:bCs/>
          <w:color w:val="1F497D" w:themeColor="text2"/>
          <w:szCs w:val="24"/>
        </w:rPr>
      </w:pPr>
    </w:p>
    <w:p w14:paraId="2F28E2E3" w14:textId="77777777" w:rsidR="00E15D0D" w:rsidRDefault="00E15D0D" w:rsidP="00D5739F">
      <w:pPr>
        <w:ind w:right="-338"/>
        <w:jc w:val="center"/>
        <w:rPr>
          <w:rFonts w:ascii="Arial" w:hAnsi="Arial" w:cs="Arial"/>
          <w:b/>
          <w:bCs/>
          <w:color w:val="1F497D" w:themeColor="text2"/>
          <w:szCs w:val="24"/>
        </w:rPr>
      </w:pPr>
    </w:p>
    <w:p w14:paraId="4F4844F2" w14:textId="77777777" w:rsidR="00E15D0D" w:rsidRDefault="00E15D0D" w:rsidP="00D5739F">
      <w:pPr>
        <w:ind w:right="-338"/>
        <w:jc w:val="center"/>
        <w:rPr>
          <w:rFonts w:ascii="Arial" w:hAnsi="Arial" w:cs="Arial"/>
          <w:b/>
          <w:bCs/>
          <w:color w:val="1F497D" w:themeColor="text2"/>
          <w:szCs w:val="24"/>
        </w:rPr>
      </w:pPr>
    </w:p>
    <w:p w14:paraId="027CC8C9" w14:textId="77777777" w:rsidR="001C7297" w:rsidRDefault="001C7297" w:rsidP="00D5739F">
      <w:pPr>
        <w:ind w:right="-338"/>
        <w:jc w:val="center"/>
        <w:rPr>
          <w:rFonts w:ascii="Arial" w:hAnsi="Arial" w:cs="Arial"/>
          <w:b/>
          <w:bCs/>
          <w:color w:val="1F497D" w:themeColor="text2"/>
          <w:szCs w:val="24"/>
        </w:rPr>
      </w:pPr>
    </w:p>
    <w:p w14:paraId="36E053C2" w14:textId="77777777" w:rsidR="003A6F73" w:rsidRDefault="003A6F73" w:rsidP="00D5739F">
      <w:pPr>
        <w:ind w:right="-338"/>
        <w:jc w:val="center"/>
        <w:rPr>
          <w:rFonts w:ascii="Arial" w:hAnsi="Arial" w:cs="Arial"/>
          <w:b/>
          <w:bCs/>
          <w:color w:val="1F497D" w:themeColor="text2"/>
          <w:szCs w:val="24"/>
        </w:rPr>
      </w:pPr>
    </w:p>
    <w:sdt>
      <w:sdtPr>
        <w:rPr>
          <w:rFonts w:ascii="Arial" w:hAnsi="Arial" w:cs="Arial"/>
          <w:color w:val="0000FF"/>
          <w:u w:val="single"/>
        </w:rPr>
        <w:id w:val="-975211803"/>
        <w:docPartObj>
          <w:docPartGallery w:val="Table of Contents"/>
          <w:docPartUnique/>
        </w:docPartObj>
      </w:sdtPr>
      <w:sdtEndPr>
        <w:rPr>
          <w:b/>
          <w:bCs/>
          <w:noProof/>
          <w:color w:val="auto"/>
          <w:u w:val="none"/>
        </w:rPr>
      </w:sdtEndPr>
      <w:sdtContent>
        <w:p w14:paraId="2B0CDEB4" w14:textId="1216F95F" w:rsidR="003A7460" w:rsidRPr="001B3BD7" w:rsidRDefault="003A7460" w:rsidP="003A7460">
          <w:pPr>
            <w:pStyle w:val="BodyText"/>
            <w:rPr>
              <w:rFonts w:ascii="Arial" w:hAnsi="Arial" w:cs="Arial"/>
              <w:color w:val="0000FF"/>
              <w:sz w:val="28"/>
              <w:szCs w:val="28"/>
              <w:u w:val="single"/>
            </w:rPr>
          </w:pPr>
          <w:r w:rsidRPr="001B3BD7">
            <w:rPr>
              <w:rFonts w:ascii="Arial" w:hAnsi="Arial" w:cs="Arial"/>
              <w:b/>
              <w:bCs/>
              <w:color w:val="002060"/>
              <w:sz w:val="28"/>
              <w:szCs w:val="28"/>
            </w:rPr>
            <w:t>Contents</w:t>
          </w:r>
        </w:p>
        <w:p w14:paraId="606513F9" w14:textId="4F7F1EA7" w:rsidR="003E127E" w:rsidRPr="003E127E" w:rsidRDefault="003A7460">
          <w:pPr>
            <w:pStyle w:val="TOC1"/>
            <w:rPr>
              <w:rFonts w:ascii="Arial" w:eastAsiaTheme="minorEastAsia" w:hAnsi="Arial" w:cs="Arial"/>
              <w:noProof/>
              <w:snapToGrid/>
              <w:kern w:val="2"/>
              <w:szCs w:val="24"/>
              <w:lang w:eastAsia="en-GB"/>
              <w14:ligatures w14:val="standardContextual"/>
            </w:rPr>
          </w:pPr>
          <w:r w:rsidRPr="001B3BD7">
            <w:rPr>
              <w:rFonts w:ascii="Arial" w:hAnsi="Arial" w:cs="Arial"/>
              <w:szCs w:val="24"/>
            </w:rPr>
            <w:fldChar w:fldCharType="begin"/>
          </w:r>
          <w:r w:rsidRPr="001B3BD7">
            <w:rPr>
              <w:rFonts w:ascii="Arial" w:hAnsi="Arial" w:cs="Arial"/>
              <w:szCs w:val="24"/>
            </w:rPr>
            <w:instrText xml:space="preserve"> TOC \o "1-3" \h \z \u </w:instrText>
          </w:r>
          <w:r w:rsidRPr="001B3BD7">
            <w:rPr>
              <w:rFonts w:ascii="Arial" w:hAnsi="Arial" w:cs="Arial"/>
              <w:szCs w:val="24"/>
            </w:rPr>
            <w:fldChar w:fldCharType="separate"/>
          </w:r>
          <w:hyperlink w:anchor="_Toc239682108" w:history="1">
            <w:r w:rsidR="003E127E" w:rsidRPr="003E127E">
              <w:rPr>
                <w:rStyle w:val="Hyperlink"/>
                <w:rFonts w:ascii="Arial" w:hAnsi="Arial" w:cs="Arial"/>
                <w:noProof/>
              </w:rPr>
              <w:t>1.</w:t>
            </w:r>
            <w:r w:rsidR="003E127E" w:rsidRPr="003E127E">
              <w:rPr>
                <w:rFonts w:ascii="Arial" w:eastAsiaTheme="minorEastAsia" w:hAnsi="Arial" w:cs="Arial"/>
                <w:noProof/>
                <w:snapToGrid/>
                <w:kern w:val="2"/>
                <w:szCs w:val="24"/>
                <w:lang w:eastAsia="en-GB"/>
                <w14:ligatures w14:val="standardContextual"/>
              </w:rPr>
              <w:tab/>
            </w:r>
            <w:r w:rsidR="003E127E" w:rsidRPr="003E127E">
              <w:rPr>
                <w:rStyle w:val="Hyperlink"/>
                <w:rFonts w:ascii="Arial" w:hAnsi="Arial" w:cs="Arial"/>
                <w:noProof/>
              </w:rPr>
              <w:t>Introduction</w:t>
            </w:r>
            <w:r w:rsidR="003E127E" w:rsidRPr="003E127E">
              <w:rPr>
                <w:rFonts w:ascii="Arial" w:hAnsi="Arial" w:cs="Arial"/>
                <w:noProof/>
                <w:webHidden/>
              </w:rPr>
              <w:tab/>
            </w:r>
            <w:r w:rsidR="003E127E" w:rsidRPr="003E127E">
              <w:rPr>
                <w:rFonts w:ascii="Arial" w:hAnsi="Arial" w:cs="Arial"/>
                <w:noProof/>
                <w:webHidden/>
              </w:rPr>
              <w:fldChar w:fldCharType="begin"/>
            </w:r>
            <w:r w:rsidR="003E127E" w:rsidRPr="003E127E">
              <w:rPr>
                <w:rFonts w:ascii="Arial" w:hAnsi="Arial" w:cs="Arial"/>
                <w:noProof/>
                <w:webHidden/>
              </w:rPr>
              <w:instrText xml:space="preserve"> PAGEREF _Toc239682108 \h </w:instrText>
            </w:r>
            <w:r w:rsidR="003E127E" w:rsidRPr="003E127E">
              <w:rPr>
                <w:rFonts w:ascii="Arial" w:hAnsi="Arial" w:cs="Arial"/>
                <w:noProof/>
                <w:webHidden/>
              </w:rPr>
            </w:r>
            <w:r w:rsidR="003E127E" w:rsidRPr="003E127E">
              <w:rPr>
                <w:rFonts w:ascii="Arial" w:hAnsi="Arial" w:cs="Arial"/>
                <w:noProof/>
                <w:webHidden/>
              </w:rPr>
              <w:fldChar w:fldCharType="separate"/>
            </w:r>
            <w:r w:rsidR="003E127E" w:rsidRPr="003E127E">
              <w:rPr>
                <w:rFonts w:ascii="Arial" w:hAnsi="Arial" w:cs="Arial"/>
                <w:noProof/>
                <w:webHidden/>
              </w:rPr>
              <w:t>4</w:t>
            </w:r>
            <w:r w:rsidR="003E127E" w:rsidRPr="003E127E">
              <w:rPr>
                <w:rFonts w:ascii="Arial" w:hAnsi="Arial" w:cs="Arial"/>
                <w:noProof/>
                <w:webHidden/>
              </w:rPr>
              <w:fldChar w:fldCharType="end"/>
            </w:r>
          </w:hyperlink>
        </w:p>
        <w:p w14:paraId="20BC25E7" w14:textId="3DCC52C0"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09" w:history="1">
            <w:r w:rsidRPr="003E127E">
              <w:rPr>
                <w:rStyle w:val="Hyperlink"/>
                <w:rFonts w:ascii="Arial" w:hAnsi="Arial" w:cs="Arial"/>
                <w:noProof/>
              </w:rPr>
              <w:t>Purpose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_Toc239682109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4</w:t>
            </w:r>
            <w:r w:rsidRPr="003E127E">
              <w:rPr>
                <w:rFonts w:ascii="Arial" w:hAnsi="Arial" w:cs="Arial"/>
                <w:noProof/>
                <w:webHidden/>
              </w:rPr>
              <w:fldChar w:fldCharType="end"/>
            </w:r>
          </w:hyperlink>
        </w:p>
        <w:p w14:paraId="6D06DEB7" w14:textId="341768EA"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0" w:history="1">
            <w:r w:rsidRPr="003E127E">
              <w:rPr>
                <w:rStyle w:val="Hyperlink"/>
                <w:rFonts w:ascii="Arial" w:hAnsi="Arial" w:cs="Arial"/>
                <w:noProof/>
              </w:rPr>
              <w:t>Scope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_Toc239682110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4</w:t>
            </w:r>
            <w:r w:rsidRPr="003E127E">
              <w:rPr>
                <w:rFonts w:ascii="Arial" w:hAnsi="Arial" w:cs="Arial"/>
                <w:noProof/>
                <w:webHidden/>
              </w:rPr>
              <w:fldChar w:fldCharType="end"/>
            </w:r>
          </w:hyperlink>
        </w:p>
        <w:p w14:paraId="3B9AFD7B" w14:textId="5D9CAA76"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1" w:history="1">
            <w:r w:rsidRPr="003E127E">
              <w:rPr>
                <w:rStyle w:val="Hyperlink"/>
                <w:rFonts w:ascii="Arial" w:hAnsi="Arial" w:cs="Arial"/>
                <w:noProof/>
              </w:rPr>
              <w:t>National and Local Context</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_Toc239682111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4</w:t>
            </w:r>
            <w:r w:rsidRPr="003E127E">
              <w:rPr>
                <w:rFonts w:ascii="Arial" w:hAnsi="Arial" w:cs="Arial"/>
                <w:noProof/>
                <w:webHidden/>
              </w:rPr>
              <w:fldChar w:fldCharType="end"/>
            </w:r>
          </w:hyperlink>
        </w:p>
        <w:p w14:paraId="43FB19D8" w14:textId="7E712DB0"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2" w:history="1">
            <w:r w:rsidRPr="003E127E">
              <w:rPr>
                <w:rStyle w:val="Hyperlink"/>
                <w:rFonts w:ascii="Arial" w:hAnsi="Arial" w:cs="Arial"/>
                <w:noProof/>
              </w:rPr>
              <w:t>Strategic Commissioning Approach and Objectives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_Toc239682112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5</w:t>
            </w:r>
            <w:r w:rsidRPr="003E127E">
              <w:rPr>
                <w:rFonts w:ascii="Arial" w:hAnsi="Arial" w:cs="Arial"/>
                <w:noProof/>
                <w:webHidden/>
              </w:rPr>
              <w:fldChar w:fldCharType="end"/>
            </w:r>
          </w:hyperlink>
        </w:p>
        <w:p w14:paraId="131B5C39" w14:textId="35CA0D73"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13" w:history="1">
            <w:r w:rsidRPr="003E127E">
              <w:rPr>
                <w:rStyle w:val="Hyperlink"/>
                <w:rFonts w:ascii="Arial" w:hAnsi="Arial" w:cs="Arial"/>
                <w:noProof/>
                <w:lang w:eastAsia="en-GB"/>
              </w:rPr>
              <w:t>2.</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hAnsi="Arial" w:cs="Arial"/>
                <w:noProof/>
                <w:lang w:eastAsia="en-GB"/>
              </w:rPr>
              <w:t>Governance, Assurance and Winter Planning Approach</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_Toc239682113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6</w:t>
            </w:r>
            <w:r w:rsidRPr="003E127E">
              <w:rPr>
                <w:rFonts w:ascii="Arial" w:hAnsi="Arial" w:cs="Arial"/>
                <w:noProof/>
                <w:webHidden/>
              </w:rPr>
              <w:fldChar w:fldCharType="end"/>
            </w:r>
          </w:hyperlink>
        </w:p>
        <w:p w14:paraId="1BADA7A3" w14:textId="06FFEE7A"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4" w:history="1">
            <w:r w:rsidRPr="003E127E">
              <w:rPr>
                <w:rStyle w:val="Hyperlink"/>
                <w:rFonts w:ascii="Arial" w:hAnsi="Arial" w:cs="Arial"/>
                <w:noProof/>
              </w:rPr>
              <w:t>Governance and Leadership</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_Toc239682114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6</w:t>
            </w:r>
            <w:r w:rsidRPr="003E127E">
              <w:rPr>
                <w:rFonts w:ascii="Arial" w:hAnsi="Arial" w:cs="Arial"/>
                <w:noProof/>
                <w:webHidden/>
              </w:rPr>
              <w:fldChar w:fldCharType="end"/>
            </w:r>
          </w:hyperlink>
        </w:p>
        <w:p w14:paraId="7004E324" w14:textId="1544AF08"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5" w:history="1">
            <w:r w:rsidRPr="003E127E">
              <w:rPr>
                <w:rStyle w:val="Hyperlink"/>
                <w:rFonts w:ascii="Arial" w:hAnsi="Arial" w:cs="Arial"/>
                <w:noProof/>
              </w:rPr>
              <w:t>Partnership Working and Planning Methodology</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_Toc239682115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6</w:t>
            </w:r>
            <w:r w:rsidRPr="003E127E">
              <w:rPr>
                <w:rFonts w:ascii="Arial" w:hAnsi="Arial" w:cs="Arial"/>
                <w:noProof/>
                <w:webHidden/>
              </w:rPr>
              <w:fldChar w:fldCharType="end"/>
            </w:r>
          </w:hyperlink>
        </w:p>
        <w:p w14:paraId="068ACE7F" w14:textId="78249981"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6" w:history="1">
            <w:r w:rsidRPr="003E127E">
              <w:rPr>
                <w:rStyle w:val="Hyperlink"/>
                <w:rFonts w:ascii="Arial" w:hAnsi="Arial" w:cs="Arial"/>
                <w:noProof/>
              </w:rPr>
              <w:t>Learning, Continuous Improvement and Stress Testing</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_Toc239682116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7</w:t>
            </w:r>
            <w:r w:rsidRPr="003E127E">
              <w:rPr>
                <w:rFonts w:ascii="Arial" w:hAnsi="Arial" w:cs="Arial"/>
                <w:noProof/>
                <w:webHidden/>
              </w:rPr>
              <w:fldChar w:fldCharType="end"/>
            </w:r>
          </w:hyperlink>
        </w:p>
        <w:p w14:paraId="16209FB4" w14:textId="413D5572"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7" w:history="1">
            <w:r w:rsidRPr="003E127E">
              <w:rPr>
                <w:rStyle w:val="Hyperlink"/>
                <w:rFonts w:ascii="Arial" w:hAnsi="Arial" w:cs="Arial"/>
                <w:noProof/>
              </w:rPr>
              <w:t>Quality, Risk Assessment and Equality</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_Toc239682117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7</w:t>
            </w:r>
            <w:r w:rsidRPr="003E127E">
              <w:rPr>
                <w:rFonts w:ascii="Arial" w:hAnsi="Arial" w:cs="Arial"/>
                <w:noProof/>
                <w:webHidden/>
              </w:rPr>
              <w:fldChar w:fldCharType="end"/>
            </w:r>
          </w:hyperlink>
        </w:p>
        <w:p w14:paraId="7C9B6D64" w14:textId="51EEC412"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18" w:history="1">
            <w:r w:rsidRPr="003E127E">
              <w:rPr>
                <w:rStyle w:val="Hyperlink"/>
                <w:rFonts w:ascii="Arial" w:hAnsi="Arial" w:cs="Arial"/>
                <w:noProof/>
              </w:rPr>
              <w:t>3.</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hAnsi="Arial" w:cs="Arial"/>
                <w:noProof/>
              </w:rPr>
              <w:t>Urgent and Emergency Care Transformation Programme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_Toc239682118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8</w:t>
            </w:r>
            <w:r w:rsidRPr="003E127E">
              <w:rPr>
                <w:rFonts w:ascii="Arial" w:hAnsi="Arial" w:cs="Arial"/>
                <w:noProof/>
                <w:webHidden/>
              </w:rPr>
              <w:fldChar w:fldCharType="end"/>
            </w:r>
          </w:hyperlink>
        </w:p>
        <w:p w14:paraId="71C08D96" w14:textId="157E7D5F"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19" w:history="1">
            <w:r w:rsidRPr="003E127E">
              <w:rPr>
                <w:rStyle w:val="Hyperlink"/>
                <w:rFonts w:ascii="Arial" w:hAnsi="Arial" w:cs="Arial"/>
                <w:noProof/>
              </w:rPr>
              <w:t>Our Transformation Priorities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_Toc239682119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8</w:t>
            </w:r>
            <w:r w:rsidRPr="003E127E">
              <w:rPr>
                <w:rFonts w:ascii="Arial" w:hAnsi="Arial" w:cs="Arial"/>
                <w:noProof/>
                <w:webHidden/>
              </w:rPr>
              <w:fldChar w:fldCharType="end"/>
            </w:r>
          </w:hyperlink>
        </w:p>
        <w:p w14:paraId="0304A1DE" w14:textId="7939D1A4"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20" w:history="1">
            <w:r w:rsidRPr="003E127E">
              <w:rPr>
                <w:rStyle w:val="Hyperlink"/>
                <w:rFonts w:ascii="Arial" w:hAnsi="Arial" w:cs="Arial"/>
                <w:noProof/>
              </w:rPr>
              <w:t>4.</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eastAsia="Arial" w:hAnsi="Arial" w:cs="Arial"/>
                <w:noProof/>
              </w:rPr>
              <w:t>Winter Planning and Delivery</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_Toc239682120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9</w:t>
            </w:r>
            <w:r w:rsidRPr="003E127E">
              <w:rPr>
                <w:rFonts w:ascii="Arial" w:hAnsi="Arial" w:cs="Arial"/>
                <w:noProof/>
                <w:webHidden/>
              </w:rPr>
              <w:fldChar w:fldCharType="end"/>
            </w:r>
          </w:hyperlink>
        </w:p>
        <w:p w14:paraId="63C26430" w14:textId="54C05395"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1" w:history="1">
            <w:r w:rsidRPr="003E127E">
              <w:rPr>
                <w:rStyle w:val="Hyperlink"/>
                <w:rFonts w:ascii="Arial" w:hAnsi="Arial" w:cs="Arial"/>
                <w:noProof/>
              </w:rPr>
              <w:t>Prevention and Protecting Vulnerable People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_Toc239682121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9</w:t>
            </w:r>
            <w:r w:rsidRPr="003E127E">
              <w:rPr>
                <w:rFonts w:ascii="Arial" w:hAnsi="Arial" w:cs="Arial"/>
                <w:noProof/>
                <w:webHidden/>
              </w:rPr>
              <w:fldChar w:fldCharType="end"/>
            </w:r>
          </w:hyperlink>
        </w:p>
        <w:p w14:paraId="338A7B87" w14:textId="26680ED3"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2" w:history="1">
            <w:r w:rsidRPr="003E127E">
              <w:rPr>
                <w:rStyle w:val="Hyperlink"/>
                <w:rFonts w:ascii="Arial" w:hAnsi="Arial" w:cs="Arial"/>
                <w:noProof/>
              </w:rPr>
              <w:t>Flow, Occupancy and Safe Discharge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_Toc239682122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10</w:t>
            </w:r>
            <w:r w:rsidRPr="003E127E">
              <w:rPr>
                <w:rFonts w:ascii="Arial" w:hAnsi="Arial" w:cs="Arial"/>
                <w:noProof/>
                <w:webHidden/>
              </w:rPr>
              <w:fldChar w:fldCharType="end"/>
            </w:r>
          </w:hyperlink>
        </w:p>
        <w:p w14:paraId="62B1BEB6" w14:textId="7FA78EE0"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3" w:history="1">
            <w:r w:rsidRPr="003E127E">
              <w:rPr>
                <w:rStyle w:val="Hyperlink"/>
                <w:rFonts w:ascii="Arial" w:hAnsi="Arial" w:cs="Arial"/>
                <w:noProof/>
              </w:rPr>
              <w:t>Demand, Capacity and Surge Planning</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_Toc239682123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11</w:t>
            </w:r>
            <w:r w:rsidRPr="003E127E">
              <w:rPr>
                <w:rFonts w:ascii="Arial" w:hAnsi="Arial" w:cs="Arial"/>
                <w:noProof/>
                <w:webHidden/>
              </w:rPr>
              <w:fldChar w:fldCharType="end"/>
            </w:r>
          </w:hyperlink>
        </w:p>
        <w:p w14:paraId="57EE2FB2" w14:textId="42185729"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4" w:history="1">
            <w:r w:rsidRPr="003E127E">
              <w:rPr>
                <w:rStyle w:val="Hyperlink"/>
                <w:rFonts w:ascii="Arial" w:hAnsi="Arial" w:cs="Arial"/>
                <w:noProof/>
              </w:rPr>
              <w:t>Primary Care, NHS 111 and Admission Avoidance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_Toc239682124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12</w:t>
            </w:r>
            <w:r w:rsidRPr="003E127E">
              <w:rPr>
                <w:rFonts w:ascii="Arial" w:hAnsi="Arial" w:cs="Arial"/>
                <w:noProof/>
                <w:webHidden/>
              </w:rPr>
              <w:fldChar w:fldCharType="end"/>
            </w:r>
          </w:hyperlink>
        </w:p>
        <w:p w14:paraId="67A8A8DC" w14:textId="070C8AA4"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5" w:history="1">
            <w:r w:rsidRPr="003E127E">
              <w:rPr>
                <w:rStyle w:val="Hyperlink"/>
                <w:rFonts w:ascii="Arial" w:hAnsi="Arial" w:cs="Arial"/>
                <w:noProof/>
              </w:rPr>
              <w:t>Community Health Capacity</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_Toc239682125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13</w:t>
            </w:r>
            <w:r w:rsidRPr="003E127E">
              <w:rPr>
                <w:rFonts w:ascii="Arial" w:hAnsi="Arial" w:cs="Arial"/>
                <w:noProof/>
                <w:webHidden/>
              </w:rPr>
              <w:fldChar w:fldCharType="end"/>
            </w:r>
          </w:hyperlink>
        </w:p>
        <w:p w14:paraId="4C630106" w14:textId="3ED5C72B"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6" w:history="1">
            <w:r w:rsidRPr="003E127E">
              <w:rPr>
                <w:rStyle w:val="Hyperlink"/>
                <w:rFonts w:ascii="Arial" w:hAnsi="Arial" w:cs="Arial"/>
                <w:noProof/>
              </w:rPr>
              <w:t>Whole-System Response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_Toc239682126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14</w:t>
            </w:r>
            <w:r w:rsidRPr="003E127E">
              <w:rPr>
                <w:rFonts w:ascii="Arial" w:hAnsi="Arial" w:cs="Arial"/>
                <w:noProof/>
                <w:webHidden/>
              </w:rPr>
              <w:fldChar w:fldCharType="end"/>
            </w:r>
          </w:hyperlink>
        </w:p>
        <w:p w14:paraId="0D2B1BC0" w14:textId="6DC2842C"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7" w:history="1">
            <w:r w:rsidRPr="003E127E">
              <w:rPr>
                <w:rStyle w:val="Hyperlink"/>
                <w:rFonts w:ascii="Arial" w:hAnsi="Arial" w:cs="Arial"/>
                <w:noProof/>
              </w:rPr>
              <w:t>Leadership, Operational Grip and Resilience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_Toc239682127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15</w:t>
            </w:r>
            <w:r w:rsidRPr="003E127E">
              <w:rPr>
                <w:rFonts w:ascii="Arial" w:hAnsi="Arial" w:cs="Arial"/>
                <w:noProof/>
                <w:webHidden/>
              </w:rPr>
              <w:fldChar w:fldCharType="end"/>
            </w:r>
          </w:hyperlink>
        </w:p>
        <w:p w14:paraId="49D43CB0" w14:textId="1A9D310D"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28" w:history="1">
            <w:r w:rsidRPr="003E127E">
              <w:rPr>
                <w:rStyle w:val="Hyperlink"/>
                <w:rFonts w:ascii="Arial" w:hAnsi="Arial" w:cs="Arial"/>
                <w:noProof/>
              </w:rPr>
              <w:t>System Coordination Centre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_Toc239682128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16</w:t>
            </w:r>
            <w:r w:rsidRPr="003E127E">
              <w:rPr>
                <w:rFonts w:ascii="Arial" w:hAnsi="Arial" w:cs="Arial"/>
                <w:noProof/>
                <w:webHidden/>
              </w:rPr>
              <w:fldChar w:fldCharType="end"/>
            </w:r>
          </w:hyperlink>
        </w:p>
        <w:p w14:paraId="6E28FEA8" w14:textId="21B6AE42"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29" w:history="1">
            <w:r w:rsidRPr="003E127E">
              <w:rPr>
                <w:rStyle w:val="Hyperlink"/>
                <w:rFonts w:ascii="Arial" w:hAnsi="Arial" w:cs="Arial"/>
                <w:noProof/>
                <w:lang w:val="en-US"/>
              </w:rPr>
              <w:t>5.</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hAnsi="Arial" w:cs="Arial"/>
                <w:noProof/>
                <w:lang w:val="en-US"/>
              </w:rPr>
              <w:t>Communications Plan</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_Toc239682129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17</w:t>
            </w:r>
            <w:r w:rsidRPr="003E127E">
              <w:rPr>
                <w:rFonts w:ascii="Arial" w:hAnsi="Arial" w:cs="Arial"/>
                <w:noProof/>
                <w:webHidden/>
              </w:rPr>
              <w:fldChar w:fldCharType="end"/>
            </w:r>
          </w:hyperlink>
        </w:p>
        <w:p w14:paraId="35BE6140" w14:textId="75990D33"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0" w:history="1">
            <w:r w:rsidRPr="003E127E">
              <w:rPr>
                <w:rStyle w:val="Hyperlink"/>
                <w:rFonts w:ascii="Arial" w:hAnsi="Arial" w:cs="Arial"/>
                <w:noProof/>
                <w:lang w:val="en-US"/>
              </w:rPr>
              <w:t>Access to priority vaccination programmes incl. annual flu and C-19 campaigns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_Toc239682130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17</w:t>
            </w:r>
            <w:r w:rsidRPr="003E127E">
              <w:rPr>
                <w:rFonts w:ascii="Arial" w:hAnsi="Arial" w:cs="Arial"/>
                <w:noProof/>
                <w:webHidden/>
              </w:rPr>
              <w:fldChar w:fldCharType="end"/>
            </w:r>
          </w:hyperlink>
        </w:p>
        <w:p w14:paraId="63A5B594" w14:textId="04D0CE35"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1" w:history="1">
            <w:r w:rsidRPr="003E127E">
              <w:rPr>
                <w:rStyle w:val="Hyperlink"/>
                <w:rFonts w:ascii="Arial" w:hAnsi="Arial" w:cs="Arial"/>
                <w:noProof/>
                <w:lang w:val="en-US"/>
              </w:rPr>
              <w:t>Reduction of avoidable admissions among vulnerable groups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_Toc239682131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17</w:t>
            </w:r>
            <w:r w:rsidRPr="003E127E">
              <w:rPr>
                <w:rFonts w:ascii="Arial" w:hAnsi="Arial" w:cs="Arial"/>
                <w:noProof/>
                <w:webHidden/>
              </w:rPr>
              <w:fldChar w:fldCharType="end"/>
            </w:r>
          </w:hyperlink>
        </w:p>
        <w:p w14:paraId="6733ED18" w14:textId="23EE4AC5"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2" w:history="1">
            <w:r w:rsidRPr="003E127E">
              <w:rPr>
                <w:rStyle w:val="Hyperlink"/>
                <w:rFonts w:ascii="Arial" w:hAnsi="Arial" w:cs="Arial"/>
                <w:noProof/>
                <w:lang w:val="en-US"/>
              </w:rPr>
              <w:t>Primary care, NHS 111 and admission avoidance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_Toc239682132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18</w:t>
            </w:r>
            <w:r w:rsidRPr="003E127E">
              <w:rPr>
                <w:rFonts w:ascii="Arial" w:hAnsi="Arial" w:cs="Arial"/>
                <w:noProof/>
                <w:webHidden/>
              </w:rPr>
              <w:fldChar w:fldCharType="end"/>
            </w:r>
          </w:hyperlink>
        </w:p>
        <w:p w14:paraId="4E1B9500" w14:textId="1C12E76E"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33" w:history="1">
            <w:r w:rsidRPr="003E127E">
              <w:rPr>
                <w:rStyle w:val="Hyperlink"/>
                <w:rFonts w:ascii="Arial" w:hAnsi="Arial" w:cs="Arial"/>
                <w:noProof/>
                <w:lang w:val="en-US"/>
              </w:rPr>
              <w:t>6.</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hAnsi="Arial" w:cs="Arial"/>
                <w:noProof/>
                <w:lang w:val="en-US"/>
              </w:rPr>
              <w:t>Appendices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_Toc239682133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19</w:t>
            </w:r>
            <w:r w:rsidRPr="003E127E">
              <w:rPr>
                <w:rFonts w:ascii="Arial" w:hAnsi="Arial" w:cs="Arial"/>
                <w:noProof/>
                <w:webHidden/>
              </w:rPr>
              <w:fldChar w:fldCharType="end"/>
            </w:r>
          </w:hyperlink>
        </w:p>
        <w:p w14:paraId="132FEE54" w14:textId="24B78DF8"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4" w:history="1">
            <w:r w:rsidRPr="003E127E">
              <w:rPr>
                <w:rStyle w:val="Hyperlink"/>
                <w:rFonts w:ascii="Arial" w:hAnsi="Arial" w:cs="Arial"/>
                <w:noProof/>
                <w:lang w:val="en-US"/>
              </w:rPr>
              <w:t>Gloucestershire ICB Quality Impact Assessment</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_Toc239682134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19</w:t>
            </w:r>
            <w:r w:rsidRPr="003E127E">
              <w:rPr>
                <w:rFonts w:ascii="Arial" w:hAnsi="Arial" w:cs="Arial"/>
                <w:noProof/>
                <w:webHidden/>
              </w:rPr>
              <w:fldChar w:fldCharType="end"/>
            </w:r>
          </w:hyperlink>
        </w:p>
        <w:p w14:paraId="30D6D160" w14:textId="718BDF6F"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5" w:history="1">
            <w:r w:rsidRPr="003E127E">
              <w:rPr>
                <w:rStyle w:val="Hyperlink"/>
                <w:rFonts w:ascii="Arial" w:hAnsi="Arial" w:cs="Arial"/>
                <w:noProof/>
                <w:lang w:val="en-US"/>
              </w:rPr>
              <w:t>Board Assurance Statements – Self Assessment Templates due 30 Sept 2026</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_Toc239682135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19</w:t>
            </w:r>
            <w:r w:rsidRPr="003E127E">
              <w:rPr>
                <w:rFonts w:ascii="Arial" w:hAnsi="Arial" w:cs="Arial"/>
                <w:noProof/>
                <w:webHidden/>
              </w:rPr>
              <w:fldChar w:fldCharType="end"/>
            </w:r>
          </w:hyperlink>
        </w:p>
        <w:p w14:paraId="3C2B26F1" w14:textId="26BF19DC" w:rsidR="003E127E" w:rsidRPr="003E127E" w:rsidRDefault="003E127E">
          <w:pPr>
            <w:pStyle w:val="TOC3"/>
            <w:rPr>
              <w:rFonts w:ascii="Arial" w:eastAsiaTheme="minorEastAsia" w:hAnsi="Arial" w:cs="Arial"/>
              <w:noProof/>
              <w:snapToGrid/>
              <w:kern w:val="2"/>
              <w:szCs w:val="24"/>
              <w:lang w:eastAsia="en-GB"/>
              <w14:ligatures w14:val="standardContextual"/>
            </w:rPr>
          </w:pPr>
          <w:hyperlink w:anchor="_Toc239682136" w:history="1">
            <w:r w:rsidRPr="003E127E">
              <w:rPr>
                <w:rStyle w:val="Hyperlink"/>
                <w:rFonts w:ascii="Arial" w:hAnsi="Arial" w:cs="Arial"/>
                <w:noProof/>
                <w:lang w:val="en-US"/>
              </w:rPr>
              <w:t>Vaccination Assurance</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_Toc239682136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19</w:t>
            </w:r>
            <w:r w:rsidRPr="003E127E">
              <w:rPr>
                <w:rFonts w:ascii="Arial" w:hAnsi="Arial" w:cs="Arial"/>
                <w:noProof/>
                <w:webHidden/>
              </w:rPr>
              <w:fldChar w:fldCharType="end"/>
            </w:r>
          </w:hyperlink>
        </w:p>
        <w:p w14:paraId="5E81C7F0" w14:textId="6AB4794D" w:rsidR="003E127E" w:rsidRPr="003E127E" w:rsidRDefault="003E127E">
          <w:pPr>
            <w:pStyle w:val="TOC1"/>
            <w:rPr>
              <w:rFonts w:ascii="Arial" w:eastAsiaTheme="minorEastAsia" w:hAnsi="Arial" w:cs="Arial"/>
              <w:noProof/>
              <w:snapToGrid/>
              <w:kern w:val="2"/>
              <w:szCs w:val="24"/>
              <w:lang w:eastAsia="en-GB"/>
              <w14:ligatures w14:val="standardContextual"/>
            </w:rPr>
          </w:pPr>
          <w:hyperlink w:anchor="_Toc239682137" w:history="1">
            <w:r w:rsidRPr="003E127E">
              <w:rPr>
                <w:rStyle w:val="Hyperlink"/>
                <w:rFonts w:ascii="Arial" w:hAnsi="Arial" w:cs="Arial"/>
                <w:noProof/>
              </w:rPr>
              <w:t>7.</w:t>
            </w:r>
            <w:r w:rsidRPr="003E127E">
              <w:rPr>
                <w:rFonts w:ascii="Arial" w:eastAsiaTheme="minorEastAsia" w:hAnsi="Arial" w:cs="Arial"/>
                <w:noProof/>
                <w:snapToGrid/>
                <w:kern w:val="2"/>
                <w:szCs w:val="24"/>
                <w:lang w:eastAsia="en-GB"/>
                <w14:ligatures w14:val="standardContextual"/>
              </w:rPr>
              <w:tab/>
            </w:r>
            <w:r w:rsidRPr="003E127E">
              <w:rPr>
                <w:rStyle w:val="Hyperlink"/>
                <w:rFonts w:ascii="Arial" w:eastAsia="MS Mincho" w:hAnsi="Arial" w:cs="Arial"/>
                <w:noProof/>
              </w:rPr>
              <w:t>Glossary of Acronyms and Definitions</w:t>
            </w:r>
            <w:r w:rsidRPr="003E127E">
              <w:rPr>
                <w:rFonts w:ascii="Arial" w:hAnsi="Arial" w:cs="Arial"/>
                <w:noProof/>
                <w:webHidden/>
              </w:rPr>
              <w:tab/>
            </w:r>
            <w:r w:rsidRPr="003E127E">
              <w:rPr>
                <w:rFonts w:ascii="Arial" w:hAnsi="Arial" w:cs="Arial"/>
                <w:noProof/>
                <w:webHidden/>
              </w:rPr>
              <w:fldChar w:fldCharType="begin"/>
            </w:r>
            <w:r w:rsidRPr="003E127E">
              <w:rPr>
                <w:rFonts w:ascii="Arial" w:hAnsi="Arial" w:cs="Arial"/>
                <w:noProof/>
                <w:webHidden/>
              </w:rPr>
              <w:instrText xml:space="preserve"> PAGEREF _Toc239682137 \h </w:instrText>
            </w:r>
            <w:r w:rsidRPr="003E127E">
              <w:rPr>
                <w:rFonts w:ascii="Arial" w:hAnsi="Arial" w:cs="Arial"/>
                <w:noProof/>
                <w:webHidden/>
              </w:rPr>
            </w:r>
            <w:r w:rsidRPr="003E127E">
              <w:rPr>
                <w:rFonts w:ascii="Arial" w:hAnsi="Arial" w:cs="Arial"/>
                <w:noProof/>
                <w:webHidden/>
              </w:rPr>
              <w:fldChar w:fldCharType="separate"/>
            </w:r>
            <w:r w:rsidRPr="003E127E">
              <w:rPr>
                <w:rFonts w:ascii="Arial" w:hAnsi="Arial" w:cs="Arial"/>
                <w:noProof/>
                <w:webHidden/>
              </w:rPr>
              <w:t>20</w:t>
            </w:r>
            <w:r w:rsidRPr="003E127E">
              <w:rPr>
                <w:rFonts w:ascii="Arial" w:hAnsi="Arial" w:cs="Arial"/>
                <w:noProof/>
                <w:webHidden/>
              </w:rPr>
              <w:fldChar w:fldCharType="end"/>
            </w:r>
          </w:hyperlink>
        </w:p>
        <w:p w14:paraId="26678A92" w14:textId="33E01A9B" w:rsidR="009768E5" w:rsidRDefault="003A7460" w:rsidP="009768E5">
          <w:pPr>
            <w:pStyle w:val="BodyText"/>
            <w:rPr>
              <w:rFonts w:ascii="Arial" w:hAnsi="Arial" w:cs="Arial"/>
              <w:b/>
              <w:bCs/>
              <w:noProof/>
              <w:szCs w:val="24"/>
            </w:rPr>
          </w:pPr>
          <w:r w:rsidRPr="001B3BD7">
            <w:rPr>
              <w:rFonts w:ascii="Arial" w:hAnsi="Arial" w:cs="Arial"/>
              <w:b/>
              <w:bCs/>
              <w:noProof/>
              <w:szCs w:val="24"/>
            </w:rPr>
            <w:fldChar w:fldCharType="end"/>
          </w:r>
        </w:p>
      </w:sdtContent>
    </w:sdt>
    <w:p w14:paraId="768BE12A" w14:textId="5528BF33" w:rsidR="0054010F" w:rsidRDefault="0054010F" w:rsidP="009768E5">
      <w:pPr>
        <w:pStyle w:val="BodyText"/>
      </w:pPr>
    </w:p>
    <w:p w14:paraId="551E05F7" w14:textId="77777777" w:rsidR="009768E5" w:rsidRDefault="009768E5" w:rsidP="009768E5">
      <w:pPr>
        <w:pStyle w:val="BodyText"/>
      </w:pPr>
    </w:p>
    <w:p w14:paraId="1CFA8115" w14:textId="77777777" w:rsidR="009768E5" w:rsidRDefault="009768E5" w:rsidP="009768E5">
      <w:pPr>
        <w:pStyle w:val="BodyText"/>
      </w:pPr>
    </w:p>
    <w:p w14:paraId="3EB51049" w14:textId="77777777" w:rsidR="009768E5" w:rsidRDefault="009768E5" w:rsidP="009768E5">
      <w:pPr>
        <w:pStyle w:val="BodyText"/>
      </w:pPr>
    </w:p>
    <w:p w14:paraId="19D485B2" w14:textId="77777777" w:rsidR="009E0D45" w:rsidRDefault="009E0D45" w:rsidP="009768E5">
      <w:pPr>
        <w:pStyle w:val="BodyText"/>
      </w:pPr>
    </w:p>
    <w:p w14:paraId="024281AD" w14:textId="77777777" w:rsidR="00E33051" w:rsidRDefault="00E33051" w:rsidP="009768E5">
      <w:pPr>
        <w:pStyle w:val="BodyText"/>
      </w:pPr>
    </w:p>
    <w:p w14:paraId="10A0C233" w14:textId="77777777" w:rsidR="00550947" w:rsidRDefault="00550947">
      <w:pPr>
        <w:widowControl/>
        <w:rPr>
          <w:rFonts w:ascii="Arial" w:hAnsi="Arial"/>
          <w:b/>
          <w:color w:val="1F497D" w:themeColor="text2"/>
          <w:sz w:val="32"/>
          <w:szCs w:val="22"/>
        </w:rPr>
      </w:pPr>
      <w:r>
        <w:br w:type="page"/>
      </w:r>
    </w:p>
    <w:p w14:paraId="0455E37E" w14:textId="3A86D7D2" w:rsidR="00D35807" w:rsidRPr="000D2C47" w:rsidRDefault="00254A7D" w:rsidP="000D2C47">
      <w:pPr>
        <w:pStyle w:val="PolicyHeading"/>
      </w:pPr>
      <w:bookmarkStart w:id="3" w:name="_Toc239682108"/>
      <w:r>
        <w:lastRenderedPageBreak/>
        <w:t>I</w:t>
      </w:r>
      <w:r w:rsidR="00E33051" w:rsidRPr="000D2C47">
        <w:t>ntroduction</w:t>
      </w:r>
      <w:bookmarkEnd w:id="3"/>
    </w:p>
    <w:p w14:paraId="1622936C" w14:textId="19795C45" w:rsidR="003A3281" w:rsidRPr="000530B1" w:rsidRDefault="00E33051" w:rsidP="000530B1">
      <w:pPr>
        <w:pStyle w:val="Heading3"/>
        <w:rPr>
          <w:color w:val="1F497D" w:themeColor="text2"/>
          <w:sz w:val="28"/>
          <w:szCs w:val="22"/>
        </w:rPr>
      </w:pPr>
      <w:bookmarkStart w:id="4" w:name="_Toc239682109"/>
      <w:r w:rsidRPr="003A3281">
        <w:rPr>
          <w:color w:val="1F497D" w:themeColor="text2"/>
          <w:sz w:val="28"/>
          <w:szCs w:val="22"/>
        </w:rPr>
        <w:t>Purpose</w:t>
      </w:r>
      <w:bookmarkEnd w:id="4"/>
      <w:r w:rsidR="00800A7D" w:rsidRPr="003A3281">
        <w:rPr>
          <w:color w:val="1F497D" w:themeColor="text2"/>
          <w:sz w:val="28"/>
          <w:szCs w:val="22"/>
        </w:rPr>
        <w:t xml:space="preserve"> </w:t>
      </w:r>
    </w:p>
    <w:p w14:paraId="1869AE21" w14:textId="42246149" w:rsidR="00E02C03" w:rsidRPr="00AB59C0" w:rsidRDefault="345CAEBD" w:rsidP="00E02C03">
      <w:pPr>
        <w:jc w:val="both"/>
        <w:rPr>
          <w:rFonts w:ascii="Arial" w:hAnsi="Arial" w:cs="Arial"/>
          <w:sz w:val="22"/>
          <w:szCs w:val="22"/>
        </w:rPr>
      </w:pPr>
      <w:r w:rsidRPr="4FB85B1B">
        <w:rPr>
          <w:rFonts w:ascii="Arial" w:hAnsi="Arial" w:cs="Arial"/>
          <w:sz w:val="22"/>
          <w:szCs w:val="22"/>
        </w:rPr>
        <w:t xml:space="preserve">The Gloucestershire Winter Plan 2026/27 sets out </w:t>
      </w:r>
      <w:r w:rsidR="64E42D7F" w:rsidRPr="4FB85B1B">
        <w:rPr>
          <w:rFonts w:ascii="Arial" w:hAnsi="Arial" w:cs="Arial"/>
          <w:sz w:val="22"/>
          <w:szCs w:val="22"/>
        </w:rPr>
        <w:t xml:space="preserve">a </w:t>
      </w:r>
      <w:r w:rsidR="53098C79" w:rsidRPr="4FB85B1B">
        <w:rPr>
          <w:rFonts w:ascii="Arial" w:hAnsi="Arial" w:cs="Arial"/>
          <w:sz w:val="22"/>
          <w:szCs w:val="22"/>
        </w:rPr>
        <w:t>place-based</w:t>
      </w:r>
      <w:r w:rsidR="64E42D7F" w:rsidRPr="4FB85B1B">
        <w:rPr>
          <w:rFonts w:ascii="Arial" w:hAnsi="Arial" w:cs="Arial"/>
          <w:sz w:val="22"/>
          <w:szCs w:val="22"/>
        </w:rPr>
        <w:t xml:space="preserve"> response</w:t>
      </w:r>
      <w:r w:rsidRPr="4FB85B1B">
        <w:rPr>
          <w:rFonts w:ascii="Arial" w:hAnsi="Arial" w:cs="Arial"/>
          <w:sz w:val="22"/>
          <w:szCs w:val="22"/>
        </w:rPr>
        <w:t>, working in partnership with</w:t>
      </w:r>
      <w:r w:rsidR="32BA95F6" w:rsidRPr="4FB85B1B">
        <w:rPr>
          <w:rFonts w:ascii="Arial" w:hAnsi="Arial" w:cs="Arial"/>
          <w:sz w:val="22"/>
          <w:szCs w:val="22"/>
        </w:rPr>
        <w:t xml:space="preserve"> health and social care</w:t>
      </w:r>
      <w:r w:rsidRPr="4FB85B1B">
        <w:rPr>
          <w:rFonts w:ascii="Arial" w:hAnsi="Arial" w:cs="Arial"/>
          <w:sz w:val="22"/>
          <w:szCs w:val="22"/>
        </w:rPr>
        <w:t xml:space="preserve"> organisations across </w:t>
      </w:r>
      <w:r w:rsidR="1066D020" w:rsidRPr="4FB85B1B">
        <w:rPr>
          <w:rFonts w:ascii="Arial" w:hAnsi="Arial" w:cs="Arial"/>
          <w:sz w:val="22"/>
          <w:szCs w:val="22"/>
        </w:rPr>
        <w:t>G</w:t>
      </w:r>
      <w:r w:rsidR="008074AB" w:rsidRPr="4FB85B1B">
        <w:rPr>
          <w:rFonts w:ascii="Arial" w:hAnsi="Arial" w:cs="Arial"/>
          <w:sz w:val="22"/>
          <w:szCs w:val="22"/>
        </w:rPr>
        <w:t>loucestershire</w:t>
      </w:r>
      <w:r w:rsidRPr="4FB85B1B">
        <w:rPr>
          <w:rFonts w:ascii="Arial" w:hAnsi="Arial" w:cs="Arial"/>
          <w:sz w:val="22"/>
          <w:szCs w:val="22"/>
        </w:rPr>
        <w:t>,</w:t>
      </w:r>
      <w:r w:rsidR="48E79857" w:rsidRPr="4FB85B1B">
        <w:rPr>
          <w:rFonts w:ascii="Arial" w:hAnsi="Arial" w:cs="Arial"/>
          <w:sz w:val="22"/>
          <w:szCs w:val="22"/>
        </w:rPr>
        <w:t xml:space="preserve"> to</w:t>
      </w:r>
      <w:r w:rsidRPr="4FB85B1B">
        <w:rPr>
          <w:rFonts w:ascii="Arial" w:hAnsi="Arial" w:cs="Arial"/>
          <w:sz w:val="22"/>
          <w:szCs w:val="22"/>
        </w:rPr>
        <w:t xml:space="preserve"> provide strategic leadership, commissioning oversight and whole-system assurance to support safe, effective and resilient health and care services throughout the winter period</w:t>
      </w:r>
      <w:r w:rsidR="3E046EE9" w:rsidRPr="4FB85B1B">
        <w:rPr>
          <w:rFonts w:ascii="Arial" w:hAnsi="Arial" w:cs="Arial"/>
          <w:sz w:val="22"/>
          <w:szCs w:val="22"/>
        </w:rPr>
        <w:t xml:space="preserve"> as part of the wider </w:t>
      </w:r>
      <w:r w:rsidR="7B67F52E" w:rsidRPr="4FB85B1B">
        <w:rPr>
          <w:rFonts w:ascii="Arial" w:hAnsi="Arial" w:cs="Arial"/>
          <w:sz w:val="22"/>
          <w:szCs w:val="22"/>
        </w:rPr>
        <w:t>Gloucestershire</w:t>
      </w:r>
      <w:r w:rsidR="3E046EE9" w:rsidRPr="4FB85B1B">
        <w:rPr>
          <w:rFonts w:ascii="Arial" w:hAnsi="Arial" w:cs="Arial"/>
          <w:sz w:val="22"/>
          <w:szCs w:val="22"/>
        </w:rPr>
        <w:t>, Bristol, North Somerset and South Gloucestershire ICB cluster</w:t>
      </w:r>
      <w:r w:rsidRPr="4FB85B1B">
        <w:rPr>
          <w:rFonts w:ascii="Arial" w:hAnsi="Arial" w:cs="Arial"/>
          <w:sz w:val="22"/>
          <w:szCs w:val="22"/>
        </w:rPr>
        <w:t>.</w:t>
      </w:r>
    </w:p>
    <w:p w14:paraId="2949E5F5" w14:textId="77777777" w:rsidR="00E02C03" w:rsidRPr="00AB59C0" w:rsidRDefault="00E02C03" w:rsidP="00E02C03">
      <w:pPr>
        <w:jc w:val="both"/>
        <w:rPr>
          <w:rFonts w:ascii="Arial" w:hAnsi="Arial" w:cs="Arial"/>
          <w:sz w:val="22"/>
          <w:szCs w:val="18"/>
        </w:rPr>
      </w:pPr>
    </w:p>
    <w:p w14:paraId="1307A3CD" w14:textId="11C0ED82" w:rsidR="00E02C03" w:rsidRPr="00AB59C0" w:rsidRDefault="345CAEBD" w:rsidP="00E02C03">
      <w:pPr>
        <w:jc w:val="both"/>
        <w:rPr>
          <w:rFonts w:ascii="Arial" w:hAnsi="Arial" w:cs="Arial"/>
          <w:sz w:val="22"/>
          <w:szCs w:val="22"/>
        </w:rPr>
      </w:pPr>
      <w:r w:rsidRPr="4FB85B1B">
        <w:rPr>
          <w:rFonts w:ascii="Arial" w:hAnsi="Arial" w:cs="Arial"/>
          <w:sz w:val="22"/>
          <w:szCs w:val="22"/>
        </w:rPr>
        <w:t>Developed in response to NHS England's Winter Planning Guidance 2026/27 and the associated Integrated Care Board</w:t>
      </w:r>
      <w:r w:rsidR="24CD1778" w:rsidRPr="4FB85B1B">
        <w:rPr>
          <w:rFonts w:ascii="Arial" w:hAnsi="Arial" w:cs="Arial"/>
          <w:sz w:val="22"/>
          <w:szCs w:val="22"/>
        </w:rPr>
        <w:t>,</w:t>
      </w:r>
      <w:r w:rsidRPr="4FB85B1B">
        <w:rPr>
          <w:rFonts w:ascii="Arial" w:hAnsi="Arial" w:cs="Arial"/>
          <w:sz w:val="22"/>
          <w:szCs w:val="22"/>
        </w:rPr>
        <w:t xml:space="preserve"> Board Assurance Statement (BAS), this plan </w:t>
      </w:r>
      <w:r w:rsidR="1C0A3B1F" w:rsidRPr="4FB85B1B">
        <w:rPr>
          <w:rFonts w:ascii="Arial" w:hAnsi="Arial" w:cs="Arial"/>
          <w:sz w:val="22"/>
          <w:szCs w:val="22"/>
        </w:rPr>
        <w:t>provides assurance regards</w:t>
      </w:r>
      <w:r w:rsidRPr="4FB85B1B">
        <w:rPr>
          <w:rFonts w:ascii="Arial" w:hAnsi="Arial" w:cs="Arial"/>
          <w:sz w:val="22"/>
          <w:szCs w:val="22"/>
        </w:rPr>
        <w:t xml:space="preserve"> how the ICB will work with partners to understand population need, assess winter risk, commission sufficient capacity, strengthen prevention and proactive care, and coordinate a whole-system response to seasonal pressures. It demonstrates how Gloucestershire will meet national expectations while responding to the needs of its local population.</w:t>
      </w:r>
    </w:p>
    <w:p w14:paraId="1E75FE89" w14:textId="77777777" w:rsidR="000530B1" w:rsidRPr="00AB59C0" w:rsidRDefault="000530B1" w:rsidP="00E02C03">
      <w:pPr>
        <w:jc w:val="both"/>
        <w:rPr>
          <w:rFonts w:ascii="Arial" w:hAnsi="Arial" w:cs="Arial"/>
          <w:sz w:val="22"/>
          <w:szCs w:val="18"/>
        </w:rPr>
      </w:pPr>
    </w:p>
    <w:p w14:paraId="4573E8D0" w14:textId="77777777" w:rsidR="00F75D7C" w:rsidRPr="003A3281" w:rsidRDefault="00E02C03" w:rsidP="003A3281">
      <w:pPr>
        <w:pStyle w:val="Heading3"/>
        <w:rPr>
          <w:color w:val="1F497D" w:themeColor="text2"/>
          <w:sz w:val="28"/>
          <w:szCs w:val="22"/>
        </w:rPr>
      </w:pPr>
      <w:bookmarkStart w:id="5" w:name="_Toc239682110"/>
      <w:bookmarkStart w:id="6" w:name="_Hlk201261278"/>
      <w:r w:rsidRPr="003A3281">
        <w:rPr>
          <w:color w:val="1F497D" w:themeColor="text2"/>
          <w:sz w:val="28"/>
          <w:szCs w:val="22"/>
        </w:rPr>
        <w:t>Scope</w:t>
      </w:r>
      <w:bookmarkEnd w:id="5"/>
      <w:r w:rsidRPr="003A3281">
        <w:rPr>
          <w:color w:val="1F497D" w:themeColor="text2"/>
          <w:sz w:val="28"/>
          <w:szCs w:val="22"/>
        </w:rPr>
        <w:t xml:space="preserve"> </w:t>
      </w:r>
    </w:p>
    <w:p w14:paraId="218BFF51" w14:textId="1A6F9355" w:rsidR="00E02C03" w:rsidRPr="00F75D7C" w:rsidRDefault="16DEA914" w:rsidP="00F75D7C">
      <w:pPr>
        <w:pStyle w:val="BodyText"/>
        <w:rPr>
          <w:rFonts w:ascii="Arial" w:hAnsi="Arial" w:cs="Arial"/>
          <w:sz w:val="22"/>
          <w:szCs w:val="22"/>
        </w:rPr>
      </w:pPr>
      <w:r w:rsidRPr="768AC530">
        <w:rPr>
          <w:rFonts w:ascii="Arial" w:hAnsi="Arial" w:cs="Arial"/>
          <w:sz w:val="22"/>
          <w:szCs w:val="22"/>
        </w:rPr>
        <w:t>This is an ICB-led system plan rather than a detailed provider operational plan. Individual NHS trusts, primary care providers, community services, mental health services, ambulance services, local authority partners and commissioned providers remain responsible for developing and delivering their own organisational winter plans.</w:t>
      </w:r>
    </w:p>
    <w:p w14:paraId="12CE9D0C" w14:textId="77777777" w:rsidR="00E02C03" w:rsidRPr="00AB59C0" w:rsidRDefault="00E02C03" w:rsidP="00E02C03">
      <w:pPr>
        <w:jc w:val="both"/>
        <w:rPr>
          <w:rFonts w:ascii="Arial" w:hAnsi="Arial" w:cs="Arial"/>
          <w:sz w:val="22"/>
          <w:szCs w:val="18"/>
        </w:rPr>
      </w:pPr>
    </w:p>
    <w:p w14:paraId="1B6B87F0" w14:textId="67D65C98" w:rsidR="00E02C03" w:rsidRPr="00AB59C0" w:rsidRDefault="7DC4DB5A" w:rsidP="00E02C03">
      <w:pPr>
        <w:jc w:val="both"/>
        <w:rPr>
          <w:rFonts w:ascii="Arial" w:hAnsi="Arial" w:cs="Arial"/>
          <w:sz w:val="22"/>
          <w:szCs w:val="22"/>
        </w:rPr>
      </w:pPr>
      <w:r w:rsidRPr="768AC530">
        <w:rPr>
          <w:rFonts w:ascii="Arial" w:hAnsi="Arial" w:cs="Arial"/>
          <w:sz w:val="22"/>
          <w:szCs w:val="22"/>
        </w:rPr>
        <w:t xml:space="preserve">The role of the ICB is to </w:t>
      </w:r>
      <w:r w:rsidR="367E6FE1" w:rsidRPr="768AC530">
        <w:rPr>
          <w:rFonts w:ascii="Arial" w:hAnsi="Arial" w:cs="Arial"/>
          <w:sz w:val="22"/>
          <w:szCs w:val="22"/>
        </w:rPr>
        <w:t>commission a</w:t>
      </w:r>
      <w:r w:rsidRPr="768AC530">
        <w:rPr>
          <w:rFonts w:ascii="Arial" w:hAnsi="Arial" w:cs="Arial"/>
          <w:sz w:val="22"/>
          <w:szCs w:val="22"/>
        </w:rPr>
        <w:t xml:space="preserve"> whole-system approach</w:t>
      </w:r>
      <w:r w:rsidR="51B35319" w:rsidRPr="768AC530">
        <w:rPr>
          <w:rFonts w:ascii="Arial" w:hAnsi="Arial" w:cs="Arial"/>
          <w:sz w:val="22"/>
          <w:szCs w:val="22"/>
        </w:rPr>
        <w:t xml:space="preserve">. </w:t>
      </w:r>
      <w:r w:rsidRPr="768AC530">
        <w:rPr>
          <w:rFonts w:ascii="Arial" w:hAnsi="Arial" w:cs="Arial"/>
          <w:sz w:val="22"/>
          <w:szCs w:val="22"/>
        </w:rPr>
        <w:t xml:space="preserve">This includes assessing population </w:t>
      </w:r>
      <w:r w:rsidR="51DC426E" w:rsidRPr="768AC530">
        <w:rPr>
          <w:rFonts w:ascii="Arial" w:hAnsi="Arial" w:cs="Arial"/>
          <w:sz w:val="22"/>
          <w:szCs w:val="22"/>
        </w:rPr>
        <w:t xml:space="preserve">health </w:t>
      </w:r>
      <w:r w:rsidRPr="768AC530">
        <w:rPr>
          <w:rFonts w:ascii="Arial" w:hAnsi="Arial" w:cs="Arial"/>
          <w:sz w:val="22"/>
          <w:szCs w:val="22"/>
        </w:rPr>
        <w:t>need, understanding demand and capacity across the system, identifying strategic risks and dependencies, commissioning additional capacity where required, coordinating whole-system resilience arrangements and providing assurance to the ICB Board and NHS England.</w:t>
      </w:r>
    </w:p>
    <w:p w14:paraId="72454F51" w14:textId="77777777" w:rsidR="000530B1" w:rsidRPr="00AB59C0" w:rsidRDefault="000530B1" w:rsidP="002003F7">
      <w:pPr>
        <w:jc w:val="both"/>
        <w:rPr>
          <w:rFonts w:ascii="Arial" w:hAnsi="Arial" w:cs="Arial"/>
          <w:sz w:val="22"/>
          <w:szCs w:val="18"/>
        </w:rPr>
      </w:pPr>
    </w:p>
    <w:p w14:paraId="6E356E92" w14:textId="02D4F85E" w:rsidR="00682744" w:rsidRPr="003A3281" w:rsidRDefault="00E02C03" w:rsidP="003A3281">
      <w:pPr>
        <w:pStyle w:val="Heading3"/>
        <w:rPr>
          <w:rFonts w:cs="Times New Roman"/>
          <w:color w:val="1F497D" w:themeColor="text2"/>
          <w:sz w:val="32"/>
          <w:szCs w:val="32"/>
        </w:rPr>
      </w:pPr>
      <w:bookmarkStart w:id="7" w:name="_Toc239682111"/>
      <w:r w:rsidRPr="4FB85B1B">
        <w:rPr>
          <w:color w:val="1F497D" w:themeColor="text2"/>
          <w:sz w:val="28"/>
          <w:szCs w:val="28"/>
        </w:rPr>
        <w:t>National</w:t>
      </w:r>
      <w:r w:rsidR="00682744" w:rsidRPr="4FB85B1B">
        <w:rPr>
          <w:color w:val="1F497D" w:themeColor="text2"/>
          <w:sz w:val="28"/>
          <w:szCs w:val="28"/>
        </w:rPr>
        <w:t xml:space="preserve"> </w:t>
      </w:r>
      <w:r w:rsidR="71FEDC49" w:rsidRPr="4FB85B1B">
        <w:rPr>
          <w:color w:val="1F497D" w:themeColor="text2"/>
          <w:sz w:val="28"/>
          <w:szCs w:val="28"/>
        </w:rPr>
        <w:t xml:space="preserve">and </w:t>
      </w:r>
      <w:r w:rsidR="00EC2717">
        <w:rPr>
          <w:color w:val="1F497D" w:themeColor="text2"/>
          <w:sz w:val="28"/>
          <w:szCs w:val="28"/>
        </w:rPr>
        <w:t>L</w:t>
      </w:r>
      <w:r w:rsidR="71FEDC49" w:rsidRPr="4FB85B1B">
        <w:rPr>
          <w:color w:val="1F497D" w:themeColor="text2"/>
          <w:sz w:val="28"/>
          <w:szCs w:val="28"/>
        </w:rPr>
        <w:t xml:space="preserve">ocal </w:t>
      </w:r>
      <w:r w:rsidR="00682744" w:rsidRPr="4FB85B1B">
        <w:rPr>
          <w:color w:val="1F497D" w:themeColor="text2"/>
          <w:sz w:val="28"/>
          <w:szCs w:val="28"/>
        </w:rPr>
        <w:t>Context</w:t>
      </w:r>
      <w:bookmarkEnd w:id="7"/>
      <w:r w:rsidR="00682744" w:rsidRPr="4FB85B1B">
        <w:rPr>
          <w:color w:val="1F497D" w:themeColor="text2"/>
          <w:sz w:val="28"/>
          <w:szCs w:val="28"/>
        </w:rPr>
        <w:t xml:space="preserve"> </w:t>
      </w:r>
    </w:p>
    <w:p w14:paraId="459469A3" w14:textId="77777777" w:rsidR="00012B6F" w:rsidRPr="00012B6F" w:rsidRDefault="1BB79FAF" w:rsidP="00012B6F">
      <w:pPr>
        <w:jc w:val="both"/>
        <w:rPr>
          <w:rFonts w:ascii="Arial" w:hAnsi="Arial" w:cs="Arial"/>
          <w:sz w:val="22"/>
          <w:szCs w:val="22"/>
        </w:rPr>
      </w:pPr>
      <w:r w:rsidRPr="768AC530">
        <w:rPr>
          <w:rFonts w:ascii="Arial" w:hAnsi="Arial" w:cs="Arial"/>
          <w:sz w:val="22"/>
          <w:szCs w:val="22"/>
        </w:rPr>
        <w:t>Winter planning for 2026/27 takes place within a significantly evolving national policy landscape. The NHS 10 Year Health Plan establishes three long-term shifts for health and care services: from hospital to community, from analogue to digital, and from sickness to prevention. These ambitions are supported by the Neighbourhood Health Framework, which promotes integrated, proactive care delivered closer to home through stronger neighbourhood services, improved care coordination and greater use of digital technology.</w:t>
      </w:r>
    </w:p>
    <w:p w14:paraId="69A55BDE" w14:textId="77777777" w:rsidR="00012B6F" w:rsidRPr="00012B6F" w:rsidRDefault="00012B6F" w:rsidP="00012B6F">
      <w:pPr>
        <w:jc w:val="both"/>
        <w:rPr>
          <w:rFonts w:ascii="Arial" w:hAnsi="Arial" w:cs="Arial"/>
          <w:sz w:val="22"/>
          <w:szCs w:val="18"/>
        </w:rPr>
      </w:pPr>
    </w:p>
    <w:p w14:paraId="07C242B2" w14:textId="77777777" w:rsidR="00012B6F" w:rsidRPr="00012B6F" w:rsidRDefault="1BB79FAF" w:rsidP="00012B6F">
      <w:pPr>
        <w:jc w:val="both"/>
        <w:rPr>
          <w:rFonts w:ascii="Arial" w:hAnsi="Arial" w:cs="Arial"/>
          <w:sz w:val="22"/>
          <w:szCs w:val="22"/>
        </w:rPr>
      </w:pPr>
      <w:r w:rsidRPr="768AC530">
        <w:rPr>
          <w:rFonts w:ascii="Arial" w:hAnsi="Arial" w:cs="Arial"/>
          <w:sz w:val="22"/>
          <w:szCs w:val="22"/>
        </w:rPr>
        <w:t>Alongside these strategic reforms, NHS England's Winter Planning Guidance requires every Integrated Care Board to develop a clinically led, evidence-based and deliverable winter plan that demonstrates whole-system preparedness. Plans must be developed collaboratively across acute, community, mental health, ambulance, primary care, social care and voluntary sector partners and provide assurance that systems have assessed demand, commissioned sufficient capacity, planned for escalation and established effective governance arrangements.</w:t>
      </w:r>
    </w:p>
    <w:p w14:paraId="3069EC0B" w14:textId="7745E587" w:rsidR="00294EAA" w:rsidRPr="000530B1" w:rsidRDefault="00294EAA" w:rsidP="4FB85B1B">
      <w:pPr>
        <w:pStyle w:val="Heading3"/>
        <w:rPr>
          <w:sz w:val="22"/>
          <w:szCs w:val="22"/>
        </w:rPr>
      </w:pPr>
    </w:p>
    <w:p w14:paraId="43E57A19" w14:textId="350E5595" w:rsidR="001E57FC" w:rsidRPr="001E57FC" w:rsidRDefault="4553FD63" w:rsidP="001E57FC">
      <w:pPr>
        <w:jc w:val="both"/>
        <w:rPr>
          <w:rFonts w:ascii="Arial" w:hAnsi="Arial" w:cs="Arial"/>
          <w:sz w:val="22"/>
          <w:szCs w:val="22"/>
        </w:rPr>
      </w:pPr>
      <w:r w:rsidRPr="768AC530">
        <w:rPr>
          <w:rFonts w:ascii="Arial" w:hAnsi="Arial" w:cs="Arial"/>
          <w:sz w:val="22"/>
          <w:szCs w:val="22"/>
        </w:rPr>
        <w:t xml:space="preserve">Gloucestershire's </w:t>
      </w:r>
      <w:r w:rsidR="7C7BF752" w:rsidRPr="768AC530">
        <w:rPr>
          <w:rFonts w:ascii="Arial" w:hAnsi="Arial" w:cs="Arial"/>
          <w:sz w:val="22"/>
          <w:szCs w:val="22"/>
        </w:rPr>
        <w:t>place-based</w:t>
      </w:r>
      <w:r w:rsidR="3EA53776" w:rsidRPr="768AC530">
        <w:rPr>
          <w:rFonts w:ascii="Arial" w:hAnsi="Arial" w:cs="Arial"/>
          <w:sz w:val="22"/>
          <w:szCs w:val="22"/>
        </w:rPr>
        <w:t xml:space="preserve"> </w:t>
      </w:r>
      <w:r w:rsidRPr="768AC530">
        <w:rPr>
          <w:rFonts w:ascii="Arial" w:hAnsi="Arial" w:cs="Arial"/>
          <w:sz w:val="22"/>
          <w:szCs w:val="22"/>
        </w:rPr>
        <w:t>approach to winter planning is informed by the Population Health and Strategic Commissioning Plan 2026–2031 and the wider One Gloucestershire Integrated Care Strategy. Together, these set out a shared vision of improving health outcomes, reducing inequalities and delivering sustainable health and care services through integrated commissioning and partnership working.</w:t>
      </w:r>
    </w:p>
    <w:p w14:paraId="5589E4E3" w14:textId="77777777" w:rsidR="001E57FC" w:rsidRPr="001E57FC" w:rsidRDefault="001E57FC" w:rsidP="001E57FC">
      <w:pPr>
        <w:jc w:val="both"/>
        <w:rPr>
          <w:rFonts w:ascii="Arial" w:hAnsi="Arial" w:cs="Arial"/>
          <w:sz w:val="22"/>
          <w:szCs w:val="18"/>
        </w:rPr>
      </w:pPr>
    </w:p>
    <w:p w14:paraId="7663C9C3" w14:textId="77777777" w:rsidR="000530B1" w:rsidRDefault="000530B1" w:rsidP="001E57FC">
      <w:pPr>
        <w:jc w:val="both"/>
        <w:rPr>
          <w:rFonts w:ascii="Arial" w:hAnsi="Arial" w:cs="Arial"/>
          <w:sz w:val="22"/>
          <w:szCs w:val="18"/>
        </w:rPr>
      </w:pPr>
    </w:p>
    <w:p w14:paraId="7F8BAE09" w14:textId="77777777" w:rsidR="003442B9" w:rsidRDefault="003442B9">
      <w:pPr>
        <w:widowControl/>
        <w:rPr>
          <w:rFonts w:ascii="Arial" w:hAnsi="Arial" w:cs="Arial"/>
          <w:b/>
          <w:color w:val="1F487C"/>
          <w:sz w:val="28"/>
          <w:szCs w:val="28"/>
        </w:rPr>
      </w:pPr>
      <w:r>
        <w:rPr>
          <w:color w:val="1F487C"/>
          <w:sz w:val="28"/>
          <w:szCs w:val="28"/>
        </w:rPr>
        <w:br w:type="page"/>
      </w:r>
    </w:p>
    <w:p w14:paraId="04D13AB5" w14:textId="134FE366" w:rsidR="001703D4" w:rsidRPr="00AB59C0" w:rsidRDefault="001E57FC" w:rsidP="0EA4F018">
      <w:pPr>
        <w:pStyle w:val="Heading3"/>
        <w:rPr>
          <w:color w:val="1F497D" w:themeColor="text2"/>
          <w:sz w:val="28"/>
          <w:szCs w:val="28"/>
        </w:rPr>
      </w:pPr>
      <w:bookmarkStart w:id="8" w:name="_Toc239682112"/>
      <w:r w:rsidRPr="0EA4F018">
        <w:rPr>
          <w:color w:val="1F487C"/>
          <w:sz w:val="28"/>
          <w:szCs w:val="28"/>
        </w:rPr>
        <w:lastRenderedPageBreak/>
        <w:t xml:space="preserve">Strategic Commissioning </w:t>
      </w:r>
      <w:r w:rsidR="00D4E569" w:rsidRPr="0EA4F018">
        <w:rPr>
          <w:color w:val="1F487C"/>
          <w:sz w:val="28"/>
          <w:szCs w:val="28"/>
        </w:rPr>
        <w:t>A</w:t>
      </w:r>
      <w:r w:rsidR="4D238441" w:rsidRPr="0EA4F018">
        <w:rPr>
          <w:color w:val="1F487C"/>
          <w:sz w:val="28"/>
          <w:szCs w:val="28"/>
        </w:rPr>
        <w:t>pproach</w:t>
      </w:r>
      <w:r w:rsidR="11D16ACF" w:rsidRPr="0EA4F018">
        <w:rPr>
          <w:color w:val="1F487C"/>
          <w:sz w:val="28"/>
          <w:szCs w:val="28"/>
        </w:rPr>
        <w:t xml:space="preserve"> and Objectives</w:t>
      </w:r>
      <w:bookmarkEnd w:id="8"/>
    </w:p>
    <w:p w14:paraId="69C5F6B0" w14:textId="77777777" w:rsidR="001703D4" w:rsidRPr="00AB59C0" w:rsidRDefault="001703D4" w:rsidP="001703D4">
      <w:pPr>
        <w:jc w:val="both"/>
        <w:rPr>
          <w:rFonts w:ascii="Arial" w:hAnsi="Arial" w:cs="Arial"/>
          <w:sz w:val="22"/>
          <w:szCs w:val="18"/>
        </w:rPr>
      </w:pPr>
    </w:p>
    <w:p w14:paraId="6A959BF8" w14:textId="6D3066F5" w:rsidR="001703D4" w:rsidRPr="00AB59C0" w:rsidRDefault="001703D4" w:rsidP="001703D4">
      <w:pPr>
        <w:jc w:val="both"/>
        <w:rPr>
          <w:rFonts w:ascii="Arial" w:hAnsi="Arial" w:cs="Arial"/>
          <w:sz w:val="22"/>
          <w:szCs w:val="22"/>
        </w:rPr>
      </w:pPr>
      <w:r w:rsidRPr="0EA4F018">
        <w:rPr>
          <w:rFonts w:ascii="Arial" w:hAnsi="Arial" w:cs="Arial"/>
          <w:sz w:val="22"/>
          <w:szCs w:val="22"/>
        </w:rPr>
        <w:t>Th</w:t>
      </w:r>
      <w:r w:rsidR="2584AF85" w:rsidRPr="0EA4F018">
        <w:rPr>
          <w:rFonts w:ascii="Arial" w:hAnsi="Arial" w:cs="Arial"/>
          <w:sz w:val="22"/>
          <w:szCs w:val="22"/>
        </w:rPr>
        <w:t>e</w:t>
      </w:r>
      <w:r w:rsidRPr="0EA4F018">
        <w:rPr>
          <w:rFonts w:ascii="Arial" w:hAnsi="Arial" w:cs="Arial"/>
          <w:sz w:val="22"/>
          <w:szCs w:val="22"/>
        </w:rPr>
        <w:t xml:space="preserve"> plan adopts a strategic commissioning approach</w:t>
      </w:r>
      <w:r w:rsidR="2AA2A284" w:rsidRPr="0EA4F018">
        <w:rPr>
          <w:rFonts w:ascii="Arial" w:hAnsi="Arial" w:cs="Arial"/>
          <w:sz w:val="22"/>
          <w:szCs w:val="22"/>
        </w:rPr>
        <w:t xml:space="preserve"> based upon</w:t>
      </w:r>
      <w:r w:rsidRPr="0EA4F018">
        <w:rPr>
          <w:rFonts w:ascii="Arial" w:hAnsi="Arial" w:cs="Arial"/>
          <w:sz w:val="22"/>
          <w:szCs w:val="22"/>
        </w:rPr>
        <w:t xml:space="preserve"> population health intelligence, demand and capacity planning, commissioning intentions, service transformation and system</w:t>
      </w:r>
      <w:r w:rsidR="3B71F4F8" w:rsidRPr="0EA4F018">
        <w:rPr>
          <w:rFonts w:ascii="Arial" w:hAnsi="Arial" w:cs="Arial"/>
          <w:sz w:val="22"/>
          <w:szCs w:val="22"/>
        </w:rPr>
        <w:t xml:space="preserve"> operational</w:t>
      </w:r>
      <w:r w:rsidR="1CD35E8A" w:rsidRPr="0EA4F018">
        <w:rPr>
          <w:rFonts w:ascii="Arial" w:hAnsi="Arial" w:cs="Arial"/>
          <w:sz w:val="22"/>
          <w:szCs w:val="22"/>
        </w:rPr>
        <w:t xml:space="preserve"> assurance as </w:t>
      </w:r>
      <w:r w:rsidR="718BF091" w:rsidRPr="0EA4F018">
        <w:rPr>
          <w:rFonts w:ascii="Arial" w:hAnsi="Arial" w:cs="Arial"/>
          <w:sz w:val="22"/>
          <w:szCs w:val="22"/>
        </w:rPr>
        <w:t>outlined</w:t>
      </w:r>
      <w:r w:rsidR="1CD35E8A" w:rsidRPr="0EA4F018">
        <w:rPr>
          <w:rFonts w:ascii="Arial" w:hAnsi="Arial" w:cs="Arial"/>
          <w:sz w:val="22"/>
          <w:szCs w:val="22"/>
        </w:rPr>
        <w:t xml:space="preserve"> in the </w:t>
      </w:r>
      <w:r w:rsidR="7B07AA33" w:rsidRPr="0EA4F018">
        <w:rPr>
          <w:rFonts w:ascii="Arial" w:hAnsi="Arial" w:cs="Arial"/>
          <w:sz w:val="22"/>
          <w:szCs w:val="22"/>
        </w:rPr>
        <w:t>Gloucestershire</w:t>
      </w:r>
      <w:r w:rsidR="1CD35E8A" w:rsidRPr="0EA4F018">
        <w:rPr>
          <w:rFonts w:ascii="Arial" w:hAnsi="Arial" w:cs="Arial"/>
          <w:sz w:val="22"/>
          <w:szCs w:val="22"/>
        </w:rPr>
        <w:t xml:space="preserve"> System Escalation Policy</w:t>
      </w:r>
      <w:r w:rsidRPr="0EA4F018">
        <w:rPr>
          <w:rFonts w:ascii="Arial" w:hAnsi="Arial" w:cs="Arial"/>
          <w:sz w:val="22"/>
          <w:szCs w:val="22"/>
        </w:rPr>
        <w:t>.</w:t>
      </w:r>
    </w:p>
    <w:p w14:paraId="088D77BA" w14:textId="77777777" w:rsidR="001703D4" w:rsidRPr="00AB59C0" w:rsidRDefault="001703D4" w:rsidP="001703D4">
      <w:pPr>
        <w:jc w:val="both"/>
        <w:rPr>
          <w:rFonts w:ascii="Arial" w:hAnsi="Arial" w:cs="Arial"/>
          <w:sz w:val="22"/>
          <w:szCs w:val="18"/>
        </w:rPr>
      </w:pPr>
    </w:p>
    <w:p w14:paraId="55A1DF90" w14:textId="236CF8CB" w:rsidR="002958C0" w:rsidRDefault="001703D4" w:rsidP="0EA4F018">
      <w:pPr>
        <w:jc w:val="both"/>
        <w:rPr>
          <w:rFonts w:ascii="Arial" w:hAnsi="Arial" w:cs="Arial"/>
          <w:sz w:val="22"/>
          <w:szCs w:val="22"/>
        </w:rPr>
      </w:pPr>
      <w:r w:rsidRPr="0EA4F018">
        <w:rPr>
          <w:rFonts w:ascii="Arial" w:hAnsi="Arial" w:cs="Arial"/>
          <w:sz w:val="22"/>
          <w:szCs w:val="22"/>
        </w:rPr>
        <w:t xml:space="preserve">The plan aligns winter preparedness with Gloucestershire's wider strategic priorities, including strengthening prevention, expanding neighbourhood health services, improving access to urgent and emergency care, enhancing community-based alternatives to hospital admission, supporting timely discharge and embedding digitally enabled system coordination. </w:t>
      </w:r>
    </w:p>
    <w:p w14:paraId="06B5667C" w14:textId="3B528DFF" w:rsidR="00B223F1" w:rsidRPr="00AB59C0" w:rsidRDefault="00B223F1" w:rsidP="0EA4F018">
      <w:pPr>
        <w:widowControl/>
        <w:spacing w:before="100" w:beforeAutospacing="1" w:after="100" w:afterAutospacing="1"/>
        <w:jc w:val="both"/>
        <w:rPr>
          <w:rFonts w:ascii="Arial" w:hAnsi="Arial" w:cs="Arial"/>
          <w:snapToGrid/>
          <w:sz w:val="22"/>
          <w:szCs w:val="22"/>
          <w:lang w:eastAsia="en-GB"/>
        </w:rPr>
      </w:pPr>
      <w:r w:rsidRPr="00AB59C0">
        <w:rPr>
          <w:rFonts w:ascii="Arial" w:hAnsi="Arial" w:cs="Arial"/>
          <w:snapToGrid/>
          <w:sz w:val="22"/>
          <w:szCs w:val="22"/>
          <w:lang w:eastAsia="en-GB"/>
        </w:rPr>
        <w:t xml:space="preserve">The </w:t>
      </w:r>
      <w:r w:rsidRPr="0EA4F018">
        <w:rPr>
          <w:rFonts w:ascii="Arial" w:hAnsi="Arial" w:cs="Arial"/>
          <w:sz w:val="22"/>
          <w:szCs w:val="22"/>
          <w:lang w:eastAsia="en-GB"/>
        </w:rPr>
        <w:t>objectives of this plan are aligned to the eight assurance domains contained within the NHS England Integrated Care Board Winter Board Assurance Statement.</w:t>
      </w:r>
    </w:p>
    <w:p w14:paraId="78294669" w14:textId="77777777" w:rsidR="00B223F1" w:rsidRPr="00AB59C0" w:rsidRDefault="00B223F1" w:rsidP="00AB59C0">
      <w:pPr>
        <w:widowControl/>
        <w:spacing w:before="100" w:beforeAutospacing="1" w:after="100" w:afterAutospacing="1"/>
        <w:jc w:val="both"/>
        <w:rPr>
          <w:rFonts w:ascii="Arial" w:hAnsi="Arial" w:cs="Arial"/>
          <w:snapToGrid/>
          <w:sz w:val="22"/>
          <w:szCs w:val="22"/>
          <w:lang w:eastAsia="en-GB"/>
        </w:rPr>
      </w:pPr>
      <w:r w:rsidRPr="00AB59C0">
        <w:rPr>
          <w:rFonts w:ascii="Arial" w:hAnsi="Arial" w:cs="Arial"/>
          <w:snapToGrid/>
          <w:sz w:val="22"/>
          <w:szCs w:val="22"/>
          <w:lang w:eastAsia="en-GB"/>
        </w:rPr>
        <w:t>The strategic objectives of the Winter Plan are to:</w:t>
      </w:r>
    </w:p>
    <w:tbl>
      <w:tblPr>
        <w:tblStyle w:val="GridTable4-Accent1"/>
        <w:tblW w:w="0" w:type="auto"/>
        <w:tblLook w:val="04A0" w:firstRow="1" w:lastRow="0" w:firstColumn="1" w:lastColumn="0" w:noHBand="0" w:noVBand="1"/>
      </w:tblPr>
      <w:tblGrid>
        <w:gridCol w:w="2821"/>
        <w:gridCol w:w="6240"/>
      </w:tblGrid>
      <w:tr w:rsidR="00B223F1" w:rsidRPr="00AB59C0" w14:paraId="4DF2207E" w14:textId="77777777" w:rsidTr="00AB59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7F2028"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Strategic Objective</w:t>
            </w:r>
          </w:p>
        </w:tc>
        <w:tc>
          <w:tcPr>
            <w:tcW w:w="0" w:type="auto"/>
            <w:vAlign w:val="center"/>
            <w:hideMark/>
          </w:tcPr>
          <w:p w14:paraId="42017BAB" w14:textId="77777777" w:rsidR="00B223F1" w:rsidRPr="00AB59C0" w:rsidRDefault="00B223F1" w:rsidP="00AB59C0">
            <w:pPr>
              <w:widowControl/>
              <w:cnfStyle w:val="100000000000" w:firstRow="1" w:lastRow="0" w:firstColumn="0" w:lastColumn="0" w:oddVBand="0" w:evenVBand="0" w:oddHBand="0"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Intended Outcome</w:t>
            </w:r>
          </w:p>
        </w:tc>
      </w:tr>
      <w:tr w:rsidR="00B223F1" w:rsidRPr="00AB59C0" w14:paraId="61FAD17E" w14:textId="77777777" w:rsidTr="00AB5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D565A7"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Protect people most vulnerable to winter pressures</w:t>
            </w:r>
          </w:p>
        </w:tc>
        <w:tc>
          <w:tcPr>
            <w:tcW w:w="0" w:type="auto"/>
            <w:vAlign w:val="center"/>
            <w:hideMark/>
          </w:tcPr>
          <w:p w14:paraId="01A99662" w14:textId="77777777" w:rsidR="00B223F1" w:rsidRPr="00AB59C0" w:rsidRDefault="00B223F1" w:rsidP="00AB59C0">
            <w:pPr>
              <w:widowControl/>
              <w:jc w:val="both"/>
              <w:cnfStyle w:val="000000100000" w:firstRow="0" w:lastRow="0" w:firstColumn="0" w:lastColumn="0" w:oddVBand="0" w:evenVBand="0" w:oddHBand="1"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Identify high-risk individuals early and strengthen prevention through vaccination, anticipatory care, proactive neighbourhood support and targeted interventions that reduce avoidable deterioration and health inequalities.</w:t>
            </w:r>
          </w:p>
        </w:tc>
      </w:tr>
      <w:tr w:rsidR="00B223F1" w:rsidRPr="00AB59C0" w14:paraId="071DE32F" w14:textId="77777777" w:rsidTr="00AB59C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43A8D6"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Maintain safe patient flow and timely discharge</w:t>
            </w:r>
          </w:p>
        </w:tc>
        <w:tc>
          <w:tcPr>
            <w:tcW w:w="0" w:type="auto"/>
            <w:vAlign w:val="center"/>
            <w:hideMark/>
          </w:tcPr>
          <w:p w14:paraId="34B10BC9" w14:textId="77777777" w:rsidR="00B223F1" w:rsidRPr="00AB59C0" w:rsidRDefault="00B223F1" w:rsidP="00AB59C0">
            <w:pPr>
              <w:widowControl/>
              <w:jc w:val="both"/>
              <w:cnfStyle w:val="000000000000" w:firstRow="0" w:lastRow="0" w:firstColumn="0" w:lastColumn="0" w:oddVBand="0" w:evenVBand="0" w:oddHBand="0"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Work with partners to improve patient flow across acute, community, mental health and social care services, enabling people to receive the right care in the right place and return home as soon as clinically appropriate.</w:t>
            </w:r>
          </w:p>
        </w:tc>
      </w:tr>
      <w:tr w:rsidR="00B223F1" w:rsidRPr="00AB59C0" w14:paraId="6F747AEE" w14:textId="77777777" w:rsidTr="00AB5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A1284A"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Commission sufficient demand, capacity and surge arrangements</w:t>
            </w:r>
          </w:p>
        </w:tc>
        <w:tc>
          <w:tcPr>
            <w:tcW w:w="0" w:type="auto"/>
            <w:vAlign w:val="center"/>
            <w:hideMark/>
          </w:tcPr>
          <w:p w14:paraId="61936AC9" w14:textId="77777777" w:rsidR="00B223F1" w:rsidRPr="00AB59C0" w:rsidRDefault="00B223F1" w:rsidP="00AB59C0">
            <w:pPr>
              <w:widowControl/>
              <w:jc w:val="both"/>
              <w:cnfStyle w:val="000000100000" w:firstRow="0" w:lastRow="0" w:firstColumn="0" w:lastColumn="0" w:oddVBand="0" w:evenVBand="0" w:oddHBand="1"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Ensure demand modelling, workforce planning, commissioned capacity and escalation arrangements provide a resilient response to anticipated and unforeseen winter pressures.</w:t>
            </w:r>
          </w:p>
        </w:tc>
      </w:tr>
      <w:tr w:rsidR="00B223F1" w:rsidRPr="00AB59C0" w14:paraId="1A12B1F9" w14:textId="77777777" w:rsidTr="00AB59C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9CFB76"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Strengthen primary care, urgent care and admission avoidance</w:t>
            </w:r>
          </w:p>
        </w:tc>
        <w:tc>
          <w:tcPr>
            <w:tcW w:w="0" w:type="auto"/>
            <w:vAlign w:val="center"/>
            <w:hideMark/>
          </w:tcPr>
          <w:p w14:paraId="3B67D993" w14:textId="77777777" w:rsidR="00B223F1" w:rsidRPr="00AB59C0" w:rsidRDefault="00B223F1" w:rsidP="00AB59C0">
            <w:pPr>
              <w:widowControl/>
              <w:jc w:val="both"/>
              <w:cnfStyle w:val="000000000000" w:firstRow="0" w:lastRow="0" w:firstColumn="0" w:lastColumn="0" w:oddVBand="0" w:evenVBand="0" w:oddHBand="0"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Maximise access to primary care, NHS 111, community pharmacy and urgent community services to reduce avoidable emergency department attendances and hospital admissions.</w:t>
            </w:r>
          </w:p>
        </w:tc>
      </w:tr>
      <w:tr w:rsidR="00B223F1" w:rsidRPr="00AB59C0" w14:paraId="58075F41" w14:textId="77777777" w:rsidTr="00AB5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426191"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Expand community-based care and neighbourhood services</w:t>
            </w:r>
          </w:p>
        </w:tc>
        <w:tc>
          <w:tcPr>
            <w:tcW w:w="0" w:type="auto"/>
            <w:vAlign w:val="center"/>
            <w:hideMark/>
          </w:tcPr>
          <w:p w14:paraId="3FA5D5C9" w14:textId="77777777" w:rsidR="00B223F1" w:rsidRPr="00AB59C0" w:rsidRDefault="00B223F1" w:rsidP="00AB59C0">
            <w:pPr>
              <w:widowControl/>
              <w:jc w:val="both"/>
              <w:cnfStyle w:val="000000100000" w:firstRow="0" w:lastRow="0" w:firstColumn="0" w:lastColumn="0" w:oddVBand="0" w:evenVBand="0" w:oddHBand="1"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Increase the availability and utilisation of community health services, urgent community response, virtual wards, Hospital at Home and integrated neighbourhood services to support care closer to home.</w:t>
            </w:r>
          </w:p>
        </w:tc>
      </w:tr>
      <w:tr w:rsidR="00B223F1" w:rsidRPr="00AB59C0" w14:paraId="1A506B80" w14:textId="77777777" w:rsidTr="00AB59C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DE1549"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Deliver a coordinated whole-system response</w:t>
            </w:r>
          </w:p>
        </w:tc>
        <w:tc>
          <w:tcPr>
            <w:tcW w:w="0" w:type="auto"/>
            <w:vAlign w:val="center"/>
            <w:hideMark/>
          </w:tcPr>
          <w:p w14:paraId="3BE34EBD" w14:textId="77777777" w:rsidR="00B223F1" w:rsidRPr="00AB59C0" w:rsidRDefault="00B223F1" w:rsidP="00AB59C0">
            <w:pPr>
              <w:widowControl/>
              <w:jc w:val="both"/>
              <w:cnfStyle w:val="000000000000" w:firstRow="0" w:lastRow="0" w:firstColumn="0" w:lastColumn="0" w:oddVBand="0" w:evenVBand="0" w:oddHBand="0"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Enable providers, commissioners, local authorities and voluntary sector partners to work as a single integrated system, supported by shared decision-making, common priorities and effective escalation arrangements.</w:t>
            </w:r>
          </w:p>
        </w:tc>
      </w:tr>
      <w:tr w:rsidR="00B223F1" w:rsidRPr="00AB59C0" w14:paraId="5AAF99D9" w14:textId="77777777" w:rsidTr="00AB59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38C1E1"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Maintain effective leadership, operational grip and resilience</w:t>
            </w:r>
          </w:p>
        </w:tc>
        <w:tc>
          <w:tcPr>
            <w:tcW w:w="0" w:type="auto"/>
            <w:vAlign w:val="center"/>
            <w:hideMark/>
          </w:tcPr>
          <w:p w14:paraId="0E7286F2" w14:textId="77777777" w:rsidR="00B223F1" w:rsidRPr="00AB59C0" w:rsidRDefault="00B223F1" w:rsidP="00AB59C0">
            <w:pPr>
              <w:widowControl/>
              <w:jc w:val="both"/>
              <w:cnfStyle w:val="000000100000" w:firstRow="0" w:lastRow="0" w:firstColumn="0" w:lastColumn="0" w:oddVBand="0" w:evenVBand="0" w:oddHBand="1"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Ensure robust governance, risk management, command arrangements and operational oversight enable timely decision-making and proportionate responses to system pressures.</w:t>
            </w:r>
          </w:p>
        </w:tc>
      </w:tr>
      <w:tr w:rsidR="00B223F1" w:rsidRPr="00AB59C0" w14:paraId="5A555753" w14:textId="77777777" w:rsidTr="00AB59C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AE12EB" w14:textId="77777777" w:rsidR="00B223F1" w:rsidRPr="00AB59C0" w:rsidRDefault="00B223F1" w:rsidP="00AB59C0">
            <w:pPr>
              <w:widowControl/>
              <w:rPr>
                <w:rFonts w:ascii="Arial" w:hAnsi="Arial" w:cs="Arial"/>
                <w:snapToGrid/>
                <w:sz w:val="22"/>
                <w:szCs w:val="22"/>
                <w:lang w:eastAsia="en-GB"/>
              </w:rPr>
            </w:pPr>
            <w:r w:rsidRPr="00AB59C0">
              <w:rPr>
                <w:rFonts w:ascii="Arial" w:hAnsi="Arial" w:cs="Arial"/>
                <w:snapToGrid/>
                <w:sz w:val="22"/>
                <w:szCs w:val="22"/>
                <w:lang w:eastAsia="en-GB"/>
              </w:rPr>
              <w:t>Provide effective system coordination and assurance</w:t>
            </w:r>
          </w:p>
        </w:tc>
        <w:tc>
          <w:tcPr>
            <w:tcW w:w="0" w:type="auto"/>
            <w:vAlign w:val="center"/>
            <w:hideMark/>
          </w:tcPr>
          <w:p w14:paraId="3A18893A" w14:textId="77777777" w:rsidR="00B223F1" w:rsidRPr="00AB59C0" w:rsidRDefault="00B223F1" w:rsidP="00AB59C0">
            <w:pPr>
              <w:widowControl/>
              <w:jc w:val="both"/>
              <w:cnfStyle w:val="000000000000" w:firstRow="0" w:lastRow="0" w:firstColumn="0" w:lastColumn="0" w:oddVBand="0" w:evenVBand="0" w:oddHBand="0" w:evenHBand="0" w:firstRowFirstColumn="0" w:firstRowLastColumn="0" w:lastRowFirstColumn="0" w:lastRowLastColumn="0"/>
              <w:rPr>
                <w:rFonts w:ascii="Arial" w:hAnsi="Arial" w:cs="Arial"/>
                <w:snapToGrid/>
                <w:sz w:val="22"/>
                <w:szCs w:val="22"/>
                <w:lang w:eastAsia="en-GB"/>
              </w:rPr>
            </w:pPr>
            <w:r w:rsidRPr="00AB59C0">
              <w:rPr>
                <w:rFonts w:ascii="Arial" w:hAnsi="Arial" w:cs="Arial"/>
                <w:snapToGrid/>
                <w:sz w:val="22"/>
                <w:szCs w:val="22"/>
                <w:lang w:eastAsia="en-GB"/>
              </w:rPr>
              <w:t>Maintain a coordinated system response through the Gloucestershire System Co-ordination Centre, supported by real-time intelligence, Integrated OPEL, SHREWD and clear governance arrangements that provide assurance to the ICB Board and NHS England.</w:t>
            </w:r>
          </w:p>
        </w:tc>
      </w:tr>
    </w:tbl>
    <w:p w14:paraId="17040284" w14:textId="0D747FF7" w:rsidR="00B223F1" w:rsidRDefault="00B223F1" w:rsidP="0EA4F018">
      <w:pPr>
        <w:widowControl/>
        <w:spacing w:before="100" w:beforeAutospacing="1" w:after="100" w:afterAutospacing="1"/>
        <w:jc w:val="both"/>
        <w:rPr>
          <w:rFonts w:ascii="Arial" w:hAnsi="Arial" w:cs="Arial"/>
          <w:snapToGrid/>
          <w:sz w:val="22"/>
          <w:szCs w:val="22"/>
          <w:lang w:eastAsia="en-GB"/>
        </w:rPr>
      </w:pPr>
    </w:p>
    <w:p w14:paraId="73E4805E" w14:textId="02EC9BC2" w:rsidR="00315B16" w:rsidRDefault="00315B16">
      <w:pPr>
        <w:widowControl/>
        <w:rPr>
          <w:rFonts w:ascii="Arial" w:hAnsi="Arial" w:cs="Arial"/>
          <w:snapToGrid/>
          <w:sz w:val="22"/>
          <w:szCs w:val="22"/>
          <w:lang w:eastAsia="en-GB"/>
        </w:rPr>
      </w:pPr>
      <w:r w:rsidRPr="3343EF95">
        <w:rPr>
          <w:rFonts w:ascii="Arial" w:hAnsi="Arial" w:cs="Arial"/>
          <w:sz w:val="22"/>
          <w:szCs w:val="22"/>
          <w:lang w:eastAsia="en-GB"/>
        </w:rPr>
        <w:br w:type="page"/>
      </w:r>
    </w:p>
    <w:p w14:paraId="1364666D" w14:textId="18804658" w:rsidR="00315B16" w:rsidRPr="00AB59C0" w:rsidRDefault="1A100498" w:rsidP="00315B16">
      <w:pPr>
        <w:pStyle w:val="Heading1"/>
        <w:numPr>
          <w:ilvl w:val="0"/>
          <w:numId w:val="8"/>
        </w:numPr>
        <w:rPr>
          <w:snapToGrid/>
          <w:lang w:eastAsia="en-GB"/>
        </w:rPr>
      </w:pPr>
      <w:bookmarkStart w:id="9" w:name="_Toc239682113"/>
      <w:r>
        <w:rPr>
          <w:snapToGrid/>
          <w:lang w:eastAsia="en-GB"/>
        </w:rPr>
        <w:lastRenderedPageBreak/>
        <w:t>Governance, Assurance and Winter Planning Approach</w:t>
      </w:r>
      <w:bookmarkEnd w:id="9"/>
      <w:r>
        <w:rPr>
          <w:snapToGrid/>
          <w:lang w:eastAsia="en-GB"/>
        </w:rPr>
        <w:t xml:space="preserve"> </w:t>
      </w:r>
    </w:p>
    <w:p w14:paraId="0AFD1001" w14:textId="5A500539" w:rsidR="00AA167C" w:rsidRPr="000530B1" w:rsidRDefault="00AA167C" w:rsidP="000530B1">
      <w:pPr>
        <w:pStyle w:val="Heading3"/>
        <w:rPr>
          <w:rFonts w:cs="Times New Roman"/>
          <w:color w:val="1F497D" w:themeColor="text2"/>
          <w:sz w:val="28"/>
          <w:szCs w:val="22"/>
        </w:rPr>
      </w:pPr>
      <w:bookmarkStart w:id="10" w:name="_Toc239682114"/>
      <w:r w:rsidRPr="000530B1">
        <w:rPr>
          <w:color w:val="1F497D" w:themeColor="text2"/>
          <w:sz w:val="28"/>
          <w:szCs w:val="22"/>
        </w:rPr>
        <w:t>Governance and Leadership</w:t>
      </w:r>
      <w:bookmarkEnd w:id="10"/>
      <w:r w:rsidRPr="000530B1">
        <w:rPr>
          <w:color w:val="1F497D" w:themeColor="text2"/>
          <w:sz w:val="28"/>
          <w:szCs w:val="22"/>
        </w:rPr>
        <w:t xml:space="preserve"> </w:t>
      </w:r>
    </w:p>
    <w:p w14:paraId="29FF7AC4" w14:textId="5D4C3F8C" w:rsidR="0041662D" w:rsidRPr="0041662D" w:rsidRDefault="7599A727" w:rsidP="0041662D">
      <w:pPr>
        <w:jc w:val="both"/>
        <w:rPr>
          <w:rFonts w:ascii="Arial" w:hAnsi="Arial" w:cs="Arial"/>
          <w:sz w:val="22"/>
          <w:szCs w:val="22"/>
        </w:rPr>
      </w:pPr>
      <w:r w:rsidRPr="768AC530">
        <w:rPr>
          <w:rFonts w:ascii="Arial" w:hAnsi="Arial" w:cs="Arial"/>
          <w:sz w:val="22"/>
          <w:szCs w:val="22"/>
        </w:rPr>
        <w:t xml:space="preserve">Winter planning is a whole-system responsibility requiring collective leadership, shared ownership and coordinated decision-making across </w:t>
      </w:r>
      <w:r w:rsidR="24F73B19" w:rsidRPr="768AC530">
        <w:rPr>
          <w:rFonts w:ascii="Arial" w:hAnsi="Arial" w:cs="Arial"/>
          <w:sz w:val="22"/>
          <w:szCs w:val="22"/>
        </w:rPr>
        <w:t>Gloucestershire</w:t>
      </w:r>
    </w:p>
    <w:p w14:paraId="49156A86" w14:textId="77777777" w:rsidR="0041662D" w:rsidRPr="0041662D" w:rsidRDefault="0041662D" w:rsidP="0041662D">
      <w:pPr>
        <w:jc w:val="both"/>
        <w:rPr>
          <w:rFonts w:ascii="Arial" w:hAnsi="Arial" w:cs="Arial"/>
          <w:sz w:val="22"/>
          <w:szCs w:val="18"/>
        </w:rPr>
      </w:pPr>
    </w:p>
    <w:p w14:paraId="55A46ECB" w14:textId="6D068D5B" w:rsidR="0041662D" w:rsidRPr="0041662D" w:rsidRDefault="7599A727" w:rsidP="0041662D">
      <w:pPr>
        <w:jc w:val="both"/>
        <w:rPr>
          <w:rFonts w:ascii="Arial" w:hAnsi="Arial" w:cs="Arial"/>
          <w:sz w:val="22"/>
          <w:szCs w:val="22"/>
        </w:rPr>
      </w:pPr>
      <w:r w:rsidRPr="768AC530">
        <w:rPr>
          <w:rFonts w:ascii="Arial" w:hAnsi="Arial" w:cs="Arial"/>
          <w:sz w:val="22"/>
          <w:szCs w:val="22"/>
        </w:rPr>
        <w:t xml:space="preserve">Overall accountability for delivery of this Winter Plan </w:t>
      </w:r>
      <w:r w:rsidR="4F97FD1A" w:rsidRPr="768AC530">
        <w:rPr>
          <w:rFonts w:ascii="Arial" w:hAnsi="Arial" w:cs="Arial"/>
          <w:sz w:val="22"/>
          <w:szCs w:val="22"/>
        </w:rPr>
        <w:t>sits</w:t>
      </w:r>
      <w:r w:rsidRPr="768AC530">
        <w:rPr>
          <w:rFonts w:ascii="Arial" w:hAnsi="Arial" w:cs="Arial"/>
          <w:sz w:val="22"/>
          <w:szCs w:val="22"/>
        </w:rPr>
        <w:t xml:space="preserve"> with Integrated Care Board, supported by a designated Executive Winter Lead who will oversee implementation, provide strategic leadership and report progress through established governance arrangements to the ICB Board.</w:t>
      </w:r>
    </w:p>
    <w:p w14:paraId="203B52F7" w14:textId="77777777" w:rsidR="0041662D" w:rsidRPr="0041662D" w:rsidRDefault="0041662D" w:rsidP="0041662D">
      <w:pPr>
        <w:jc w:val="both"/>
        <w:rPr>
          <w:rFonts w:ascii="Arial" w:hAnsi="Arial" w:cs="Arial"/>
          <w:sz w:val="22"/>
          <w:szCs w:val="18"/>
        </w:rPr>
      </w:pPr>
    </w:p>
    <w:p w14:paraId="1EEA92D1" w14:textId="27564375" w:rsidR="0041662D" w:rsidRPr="0041662D" w:rsidRDefault="7599A727" w:rsidP="0041662D">
      <w:pPr>
        <w:jc w:val="both"/>
        <w:rPr>
          <w:rFonts w:ascii="Arial" w:hAnsi="Arial" w:cs="Arial"/>
          <w:sz w:val="22"/>
          <w:szCs w:val="22"/>
        </w:rPr>
      </w:pPr>
      <w:r w:rsidRPr="768AC530">
        <w:rPr>
          <w:rFonts w:ascii="Arial" w:hAnsi="Arial" w:cs="Arial"/>
          <w:sz w:val="22"/>
          <w:szCs w:val="22"/>
        </w:rPr>
        <w:t>Operational oversight throughout the winter period will be provided through Gloucestershire's Urgent and Emergency Care governance structure in accordance with the</w:t>
      </w:r>
      <w:r w:rsidR="24C6C69D" w:rsidRPr="768AC530">
        <w:rPr>
          <w:rFonts w:ascii="Arial" w:hAnsi="Arial" w:cs="Arial"/>
          <w:sz w:val="22"/>
          <w:szCs w:val="22"/>
        </w:rPr>
        <w:t xml:space="preserve"> 26/27</w:t>
      </w:r>
      <w:r w:rsidRPr="768AC530">
        <w:rPr>
          <w:rFonts w:ascii="Arial" w:hAnsi="Arial" w:cs="Arial"/>
          <w:sz w:val="22"/>
          <w:szCs w:val="22"/>
        </w:rPr>
        <w:t xml:space="preserve"> Gloucestershire System Escalation Policy and Integrated OPEL Framework. </w:t>
      </w:r>
      <w:r w:rsidR="6BE4F6E5" w:rsidRPr="768AC530">
        <w:rPr>
          <w:rFonts w:ascii="Arial" w:hAnsi="Arial" w:cs="Arial"/>
          <w:sz w:val="22"/>
          <w:szCs w:val="22"/>
        </w:rPr>
        <w:t xml:space="preserve">This </w:t>
      </w:r>
      <w:r w:rsidRPr="768AC530">
        <w:rPr>
          <w:rFonts w:ascii="Arial" w:hAnsi="Arial" w:cs="Arial"/>
          <w:sz w:val="22"/>
          <w:szCs w:val="22"/>
        </w:rPr>
        <w:t>provide</w:t>
      </w:r>
      <w:r w:rsidR="21A89055" w:rsidRPr="768AC530">
        <w:rPr>
          <w:rFonts w:ascii="Arial" w:hAnsi="Arial" w:cs="Arial"/>
          <w:sz w:val="22"/>
          <w:szCs w:val="22"/>
        </w:rPr>
        <w:t>s</w:t>
      </w:r>
      <w:r w:rsidRPr="768AC530">
        <w:rPr>
          <w:rFonts w:ascii="Arial" w:hAnsi="Arial" w:cs="Arial"/>
          <w:sz w:val="22"/>
          <w:szCs w:val="22"/>
        </w:rPr>
        <w:t xml:space="preserve"> clear routes for decision-making, escalation, risk management and whole-system coordination throughout the winter period.</w:t>
      </w:r>
    </w:p>
    <w:p w14:paraId="280F2189" w14:textId="77777777" w:rsidR="0041662D" w:rsidRPr="0041662D" w:rsidRDefault="0041662D" w:rsidP="0041662D">
      <w:pPr>
        <w:jc w:val="both"/>
        <w:rPr>
          <w:rFonts w:ascii="Arial" w:hAnsi="Arial" w:cs="Arial"/>
          <w:sz w:val="22"/>
          <w:szCs w:val="18"/>
        </w:rPr>
      </w:pPr>
    </w:p>
    <w:p w14:paraId="5A90FC00" w14:textId="3BA3DDEE" w:rsidR="0041662D" w:rsidRDefault="7599A727" w:rsidP="0041662D">
      <w:pPr>
        <w:jc w:val="both"/>
        <w:rPr>
          <w:rFonts w:ascii="Arial" w:hAnsi="Arial" w:cs="Arial"/>
          <w:sz w:val="22"/>
          <w:szCs w:val="22"/>
        </w:rPr>
      </w:pPr>
      <w:r w:rsidRPr="768AC530">
        <w:rPr>
          <w:rFonts w:ascii="Arial" w:hAnsi="Arial" w:cs="Arial"/>
          <w:sz w:val="22"/>
          <w:szCs w:val="22"/>
        </w:rPr>
        <w:t>The Gloucestershire System Co-ordination Centre (SCC) will provide the operational coordination function for the system, maintaining a shared operational picture, monitoring emerging risks, coordinating escalation activity and supporting collective decision-making across partner organisations.</w:t>
      </w:r>
    </w:p>
    <w:p w14:paraId="20C80CC5" w14:textId="77777777" w:rsidR="000530B1" w:rsidRPr="0041662D" w:rsidRDefault="000530B1" w:rsidP="0041662D">
      <w:pPr>
        <w:jc w:val="both"/>
        <w:rPr>
          <w:rFonts w:ascii="Arial" w:hAnsi="Arial" w:cs="Arial"/>
          <w:sz w:val="22"/>
          <w:szCs w:val="18"/>
        </w:rPr>
      </w:pPr>
    </w:p>
    <w:p w14:paraId="47D3D9D6" w14:textId="2A076D55" w:rsidR="0EA4F018" w:rsidRDefault="0041662D" w:rsidP="00170C3C">
      <w:pPr>
        <w:pStyle w:val="Heading3"/>
      </w:pPr>
      <w:bookmarkStart w:id="11" w:name="_Toc239682115"/>
      <w:r w:rsidRPr="0EA4F018">
        <w:rPr>
          <w:color w:val="1F497D" w:themeColor="text2"/>
          <w:sz w:val="28"/>
          <w:szCs w:val="28"/>
        </w:rPr>
        <w:t>Partnership Working and P</w:t>
      </w:r>
      <w:r w:rsidR="2C0BAB06" w:rsidRPr="0EA4F018">
        <w:rPr>
          <w:color w:val="1F497D" w:themeColor="text2"/>
          <w:sz w:val="28"/>
          <w:szCs w:val="28"/>
        </w:rPr>
        <w:t>lanning Methodology</w:t>
      </w:r>
      <w:bookmarkEnd w:id="11"/>
    </w:p>
    <w:p w14:paraId="381110BD" w14:textId="242EB9A1" w:rsidR="0041662D" w:rsidRPr="000530B1" w:rsidRDefault="7599A727" w:rsidP="0EA4F018">
      <w:pPr>
        <w:jc w:val="both"/>
      </w:pPr>
      <w:r w:rsidRPr="768AC530">
        <w:rPr>
          <w:rFonts w:ascii="Arial" w:hAnsi="Arial" w:cs="Arial"/>
          <w:sz w:val="22"/>
          <w:szCs w:val="22"/>
        </w:rPr>
        <w:t>This Winter Plan has been developed collaboratively with partners across Gloucestershire, including acute, community, mental health, ambulance, primary care, adult social care, public health and voluntary, community and social enterprise (VCSE) organisations.</w:t>
      </w:r>
    </w:p>
    <w:p w14:paraId="1D0E6FC6" w14:textId="34D9D2BE" w:rsidR="0EA4F018" w:rsidRDefault="0EA4F018" w:rsidP="0EA4F018">
      <w:pPr>
        <w:jc w:val="both"/>
        <w:rPr>
          <w:rFonts w:ascii="Arial" w:hAnsi="Arial" w:cs="Arial"/>
          <w:sz w:val="22"/>
          <w:szCs w:val="22"/>
        </w:rPr>
      </w:pPr>
    </w:p>
    <w:p w14:paraId="7F8D20F8" w14:textId="77777777" w:rsidR="00A82800" w:rsidRPr="00A82800" w:rsidRDefault="00A82800" w:rsidP="00A82800">
      <w:pPr>
        <w:jc w:val="both"/>
        <w:rPr>
          <w:rFonts w:ascii="Arial" w:hAnsi="Arial" w:cs="Arial"/>
          <w:sz w:val="22"/>
          <w:szCs w:val="22"/>
        </w:rPr>
      </w:pPr>
      <w:r w:rsidRPr="0EA4F018">
        <w:rPr>
          <w:rFonts w:ascii="Arial" w:hAnsi="Arial" w:cs="Arial"/>
          <w:sz w:val="22"/>
          <w:szCs w:val="22"/>
        </w:rPr>
        <w:t>Development of the Gloucestershire Winter Plan has been informed through a structured planning process incorporating:</w:t>
      </w:r>
    </w:p>
    <w:p w14:paraId="64D80083" w14:textId="77777777" w:rsidR="00A82800" w:rsidRPr="00A82800" w:rsidRDefault="00A82800" w:rsidP="00A82800">
      <w:pPr>
        <w:jc w:val="both"/>
        <w:rPr>
          <w:rFonts w:ascii="Arial" w:hAnsi="Arial" w:cs="Arial"/>
          <w:sz w:val="22"/>
          <w:szCs w:val="18"/>
        </w:rPr>
      </w:pPr>
    </w:p>
    <w:p w14:paraId="6436D54F" w14:textId="668EB528" w:rsidR="00A82800" w:rsidRPr="00A82800" w:rsidRDefault="00A82800" w:rsidP="00A82800">
      <w:pPr>
        <w:numPr>
          <w:ilvl w:val="0"/>
          <w:numId w:val="17"/>
        </w:numPr>
        <w:jc w:val="both"/>
        <w:rPr>
          <w:rFonts w:ascii="Arial" w:hAnsi="Arial" w:cs="Arial"/>
          <w:sz w:val="22"/>
          <w:szCs w:val="22"/>
        </w:rPr>
      </w:pPr>
      <w:r w:rsidRPr="0EA4F018">
        <w:rPr>
          <w:rFonts w:ascii="Arial" w:hAnsi="Arial" w:cs="Arial"/>
          <w:sz w:val="22"/>
          <w:szCs w:val="22"/>
        </w:rPr>
        <w:t>NHS England Winter Planning Guidance and the Integrated Care Board</w:t>
      </w:r>
      <w:r w:rsidR="260A4E80" w:rsidRPr="0EA4F018">
        <w:rPr>
          <w:rFonts w:ascii="Arial" w:hAnsi="Arial" w:cs="Arial"/>
          <w:sz w:val="22"/>
          <w:szCs w:val="22"/>
        </w:rPr>
        <w:t>,</w:t>
      </w:r>
      <w:r w:rsidRPr="0EA4F018">
        <w:rPr>
          <w:rFonts w:ascii="Arial" w:hAnsi="Arial" w:cs="Arial"/>
          <w:sz w:val="22"/>
          <w:szCs w:val="22"/>
        </w:rPr>
        <w:t xml:space="preserve"> Board Assurance Statement. </w:t>
      </w:r>
    </w:p>
    <w:p w14:paraId="26A2246C"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The Gloucestershire Population Health and Strategic Commissioning Plan 2026–2031. </w:t>
      </w:r>
    </w:p>
    <w:p w14:paraId="355C0C37"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Learning from Winter 2025/26, including recommendations arising from local winter debriefs and system evaluation. </w:t>
      </w:r>
    </w:p>
    <w:p w14:paraId="274D70AD"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Population health intelligence, activity and demand forecasting, demographic analysis and service utilisation data. </w:t>
      </w:r>
    </w:p>
    <w:p w14:paraId="60E85664"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Engagement with system partners across health, care and the voluntary sector. </w:t>
      </w:r>
    </w:p>
    <w:p w14:paraId="4C472759"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Existing transformation programmes and commissioning priorities. </w:t>
      </w:r>
    </w:p>
    <w:p w14:paraId="60BD662F" w14:textId="77777777" w:rsidR="00A82800" w:rsidRPr="00A82800" w:rsidRDefault="00A82800" w:rsidP="00A82800">
      <w:pPr>
        <w:numPr>
          <w:ilvl w:val="0"/>
          <w:numId w:val="17"/>
        </w:numPr>
        <w:jc w:val="both"/>
        <w:rPr>
          <w:rFonts w:ascii="Arial" w:hAnsi="Arial" w:cs="Arial"/>
          <w:sz w:val="22"/>
          <w:szCs w:val="18"/>
        </w:rPr>
      </w:pPr>
      <w:r w:rsidRPr="00A82800">
        <w:rPr>
          <w:rFonts w:ascii="Arial" w:hAnsi="Arial" w:cs="Arial"/>
          <w:sz w:val="22"/>
          <w:szCs w:val="18"/>
        </w:rPr>
        <w:t xml:space="preserve">Local and regional winter stress-testing exercises. </w:t>
      </w:r>
    </w:p>
    <w:p w14:paraId="733EBD85" w14:textId="77777777" w:rsidR="00A82800" w:rsidRPr="00A82800" w:rsidRDefault="00A82800" w:rsidP="00A82800">
      <w:pPr>
        <w:ind w:left="720"/>
        <w:jc w:val="both"/>
        <w:rPr>
          <w:rFonts w:ascii="Arial" w:hAnsi="Arial" w:cs="Arial"/>
          <w:sz w:val="22"/>
          <w:szCs w:val="18"/>
        </w:rPr>
      </w:pPr>
    </w:p>
    <w:p w14:paraId="238D9100" w14:textId="2725A92D" w:rsidR="00A82800" w:rsidRDefault="00A82800" w:rsidP="0041662D">
      <w:pPr>
        <w:jc w:val="both"/>
        <w:rPr>
          <w:rFonts w:ascii="Arial" w:hAnsi="Arial" w:cs="Arial"/>
          <w:sz w:val="22"/>
          <w:szCs w:val="22"/>
        </w:rPr>
      </w:pPr>
      <w:r w:rsidRPr="0EA4F018">
        <w:rPr>
          <w:rFonts w:ascii="Arial" w:hAnsi="Arial" w:cs="Arial"/>
          <w:sz w:val="22"/>
          <w:szCs w:val="22"/>
        </w:rPr>
        <w:t>This approach ensures that winter planning is evidence-based, population-focused and aligned with Gloucestershire's wider strategic priorities.</w:t>
      </w:r>
    </w:p>
    <w:p w14:paraId="776EB7B8" w14:textId="77777777" w:rsidR="000530B1" w:rsidRPr="00AE4A41" w:rsidRDefault="000530B1" w:rsidP="0041662D">
      <w:pPr>
        <w:jc w:val="both"/>
        <w:rPr>
          <w:rFonts w:ascii="Arial" w:hAnsi="Arial" w:cs="Arial"/>
          <w:sz w:val="22"/>
          <w:szCs w:val="18"/>
        </w:rPr>
      </w:pPr>
    </w:p>
    <w:p w14:paraId="250379D9" w14:textId="77777777" w:rsidR="003442B9" w:rsidRDefault="003442B9">
      <w:pPr>
        <w:widowControl/>
        <w:rPr>
          <w:rFonts w:ascii="Arial" w:hAnsi="Arial" w:cs="Arial"/>
          <w:b/>
          <w:color w:val="1F497D" w:themeColor="text2"/>
          <w:sz w:val="28"/>
          <w:szCs w:val="28"/>
        </w:rPr>
      </w:pPr>
      <w:r>
        <w:rPr>
          <w:color w:val="1F497D" w:themeColor="text2"/>
          <w:sz w:val="28"/>
          <w:szCs w:val="28"/>
        </w:rPr>
        <w:br w:type="page"/>
      </w:r>
    </w:p>
    <w:p w14:paraId="581C1FA7" w14:textId="69E3FE59" w:rsidR="00170C3C" w:rsidRPr="00170C3C" w:rsidRDefault="00A82800" w:rsidP="00170C3C">
      <w:pPr>
        <w:pStyle w:val="Heading3"/>
        <w:rPr>
          <w:rFonts w:cs="Times New Roman"/>
          <w:color w:val="1F497D" w:themeColor="text2"/>
          <w:sz w:val="28"/>
          <w:szCs w:val="28"/>
        </w:rPr>
      </w:pPr>
      <w:bookmarkStart w:id="12" w:name="_Toc239682116"/>
      <w:r w:rsidRPr="0EA4F018">
        <w:rPr>
          <w:color w:val="1F497D" w:themeColor="text2"/>
          <w:sz w:val="28"/>
          <w:szCs w:val="28"/>
        </w:rPr>
        <w:lastRenderedPageBreak/>
        <w:t>Learning, Continuous Improvement and Stress Testing</w:t>
      </w:r>
      <w:bookmarkEnd w:id="12"/>
    </w:p>
    <w:p w14:paraId="3383D559" w14:textId="3F00CFC3" w:rsidR="00170C3C" w:rsidRPr="00170C3C" w:rsidRDefault="538E0246" w:rsidP="00170C3C">
      <w:pPr>
        <w:jc w:val="both"/>
        <w:rPr>
          <w:rFonts w:ascii="Arial" w:hAnsi="Arial" w:cs="Arial"/>
          <w:sz w:val="22"/>
          <w:szCs w:val="22"/>
        </w:rPr>
      </w:pPr>
      <w:r w:rsidRPr="768AC530">
        <w:rPr>
          <w:rFonts w:ascii="Arial" w:hAnsi="Arial" w:cs="Arial"/>
          <w:sz w:val="22"/>
          <w:szCs w:val="22"/>
        </w:rPr>
        <w:t>Gloucestershire views winter planning as a continuous cycle of planning, delivery, evaluation and improvement, rather than a standalone annual exercise. The development of the Winter Plan 2026/27 has been informed by the formal multi-agency debrief following Winter 2025/26. </w:t>
      </w:r>
    </w:p>
    <w:p w14:paraId="639C91FE" w14:textId="77777777" w:rsidR="00170C3C" w:rsidRPr="00170C3C" w:rsidRDefault="00170C3C" w:rsidP="00170C3C">
      <w:pPr>
        <w:jc w:val="both"/>
        <w:rPr>
          <w:rFonts w:ascii="Arial" w:hAnsi="Arial" w:cs="Arial"/>
          <w:sz w:val="22"/>
          <w:szCs w:val="22"/>
        </w:rPr>
      </w:pPr>
      <w:r w:rsidRPr="00170C3C">
        <w:rPr>
          <w:rFonts w:ascii="Arial" w:hAnsi="Arial" w:cs="Arial"/>
          <w:sz w:val="22"/>
          <w:szCs w:val="22"/>
        </w:rPr>
        <w:t> </w:t>
      </w:r>
    </w:p>
    <w:p w14:paraId="058291E6" w14:textId="128F9AAD" w:rsidR="00170C3C" w:rsidRPr="00170C3C" w:rsidRDefault="538E0246" w:rsidP="00170C3C">
      <w:pPr>
        <w:jc w:val="both"/>
      </w:pPr>
      <w:r w:rsidRPr="768AC530">
        <w:rPr>
          <w:rFonts w:ascii="Arial" w:hAnsi="Arial" w:cs="Arial"/>
          <w:sz w:val="22"/>
          <w:szCs w:val="22"/>
        </w:rPr>
        <w:t xml:space="preserve">The 2025/26 debrief identified </w:t>
      </w:r>
      <w:r w:rsidR="22A69C48" w:rsidRPr="768AC530">
        <w:rPr>
          <w:rFonts w:ascii="Arial" w:hAnsi="Arial" w:cs="Arial"/>
          <w:sz w:val="22"/>
          <w:szCs w:val="22"/>
        </w:rPr>
        <w:t>recommendations that</w:t>
      </w:r>
      <w:r w:rsidRPr="768AC530">
        <w:rPr>
          <w:rFonts w:ascii="Arial" w:hAnsi="Arial" w:cs="Arial"/>
          <w:sz w:val="22"/>
          <w:szCs w:val="22"/>
        </w:rPr>
        <w:t xml:space="preserve"> have shaped this year's approach, including the need for earlier winter planning, strengthened whole-system stress testing, clearer escalation arrangements, improved understanding of Integrated OPEL actions, enhanced communications planning, greater workforce resilience and wellbeing, and stronger commissioning of surge capacity. </w:t>
      </w:r>
    </w:p>
    <w:p w14:paraId="41CF3462" w14:textId="11C89E4F" w:rsidR="00170C3C" w:rsidRPr="00170C3C" w:rsidRDefault="00170C3C" w:rsidP="768AC530">
      <w:pPr>
        <w:jc w:val="both"/>
        <w:rPr>
          <w:rFonts w:ascii="Arial" w:hAnsi="Arial" w:cs="Arial"/>
          <w:sz w:val="22"/>
          <w:szCs w:val="22"/>
        </w:rPr>
      </w:pPr>
    </w:p>
    <w:p w14:paraId="0899B53D" w14:textId="49CC6C40" w:rsidR="00170C3C" w:rsidRPr="00170C3C" w:rsidRDefault="538E0246" w:rsidP="00170C3C">
      <w:pPr>
        <w:jc w:val="both"/>
        <w:rPr>
          <w:rFonts w:ascii="Arial" w:hAnsi="Arial" w:cs="Arial"/>
          <w:sz w:val="22"/>
          <w:szCs w:val="22"/>
        </w:rPr>
      </w:pPr>
      <w:r w:rsidRPr="768AC530">
        <w:rPr>
          <w:rFonts w:ascii="Arial" w:hAnsi="Arial" w:cs="Arial"/>
          <w:sz w:val="22"/>
          <w:szCs w:val="22"/>
        </w:rPr>
        <w:t>The review also recognised areas of good practice, including improved ambulance handover performance, stronger infection prevention and control arrangements, effective partnership working and more rapid system recovery compared with previous winters.</w:t>
      </w:r>
    </w:p>
    <w:p w14:paraId="0BCA9139" w14:textId="77777777" w:rsidR="00170C3C" w:rsidRPr="00170C3C" w:rsidRDefault="00170C3C" w:rsidP="00170C3C">
      <w:pPr>
        <w:jc w:val="both"/>
        <w:rPr>
          <w:rFonts w:ascii="Arial" w:hAnsi="Arial" w:cs="Arial"/>
          <w:sz w:val="22"/>
          <w:szCs w:val="22"/>
        </w:rPr>
      </w:pPr>
      <w:r w:rsidRPr="00170C3C">
        <w:rPr>
          <w:rFonts w:ascii="Arial" w:hAnsi="Arial" w:cs="Arial"/>
          <w:sz w:val="22"/>
          <w:szCs w:val="22"/>
        </w:rPr>
        <w:t> </w:t>
      </w:r>
    </w:p>
    <w:p w14:paraId="7531E3B0" w14:textId="77777777" w:rsidR="00170C3C" w:rsidRPr="00170C3C" w:rsidRDefault="00170C3C" w:rsidP="00170C3C">
      <w:pPr>
        <w:jc w:val="both"/>
        <w:rPr>
          <w:rFonts w:ascii="Arial" w:hAnsi="Arial" w:cs="Arial"/>
          <w:sz w:val="22"/>
          <w:szCs w:val="22"/>
        </w:rPr>
      </w:pPr>
      <w:r w:rsidRPr="00170C3C">
        <w:rPr>
          <w:rFonts w:ascii="Arial" w:hAnsi="Arial" w:cs="Arial"/>
          <w:sz w:val="22"/>
          <w:szCs w:val="22"/>
        </w:rPr>
        <w:t>To further strengthen preparedness, Gloucestershire will undertake a programme of assurance and testing ahead of winter, including participation in the NHS England regional winter stress-testing exercise and locally led scenario-based exercises. These exercises will test governance arrangements, escalation processes, command and control, communications, surge capacity and organisational interdependencies, ensuring lessons can be incorporated before periods of peak demand. </w:t>
      </w:r>
    </w:p>
    <w:p w14:paraId="15F8C8AE" w14:textId="77777777" w:rsidR="00170C3C" w:rsidRPr="00170C3C" w:rsidRDefault="00170C3C" w:rsidP="00170C3C">
      <w:pPr>
        <w:jc w:val="both"/>
        <w:rPr>
          <w:rFonts w:ascii="Arial" w:hAnsi="Arial" w:cs="Arial"/>
          <w:sz w:val="22"/>
          <w:szCs w:val="22"/>
        </w:rPr>
      </w:pPr>
      <w:r w:rsidRPr="00170C3C">
        <w:rPr>
          <w:rFonts w:ascii="Arial" w:hAnsi="Arial" w:cs="Arial"/>
          <w:sz w:val="22"/>
          <w:szCs w:val="22"/>
        </w:rPr>
        <w:t> </w:t>
      </w:r>
    </w:p>
    <w:p w14:paraId="04378ADD" w14:textId="77777777" w:rsidR="00170C3C" w:rsidRPr="00170C3C" w:rsidRDefault="00170C3C" w:rsidP="00170C3C">
      <w:pPr>
        <w:jc w:val="both"/>
        <w:rPr>
          <w:rFonts w:ascii="Arial" w:hAnsi="Arial" w:cs="Arial"/>
          <w:sz w:val="22"/>
          <w:szCs w:val="22"/>
        </w:rPr>
      </w:pPr>
      <w:r w:rsidRPr="00170C3C">
        <w:rPr>
          <w:rFonts w:ascii="Arial" w:hAnsi="Arial" w:cs="Arial"/>
          <w:sz w:val="22"/>
          <w:szCs w:val="22"/>
        </w:rPr>
        <w:t>Following Winter 2026/27, the ICB will undertake a further structured multi-agency debrief to evaluate delivery against this plan, review system performance and capture learning to inform future commissioning decisions. This approach supports continuous improvement and reinforces the ICB's commitment to strengthening system resilience year on year. </w:t>
      </w:r>
    </w:p>
    <w:p w14:paraId="2DCCB616" w14:textId="77777777" w:rsidR="000530B1" w:rsidRPr="00B473EF" w:rsidRDefault="000530B1" w:rsidP="00AE4A41">
      <w:pPr>
        <w:jc w:val="both"/>
        <w:rPr>
          <w:rFonts w:ascii="Arial" w:hAnsi="Arial" w:cs="Arial"/>
          <w:sz w:val="22"/>
          <w:szCs w:val="18"/>
        </w:rPr>
      </w:pPr>
    </w:p>
    <w:p w14:paraId="018B4995" w14:textId="2E03637B" w:rsidR="00BC3F2D" w:rsidRPr="000530B1" w:rsidRDefault="00BC3F2D" w:rsidP="000530B1">
      <w:pPr>
        <w:pStyle w:val="Heading3"/>
        <w:rPr>
          <w:rFonts w:cs="Times New Roman"/>
          <w:color w:val="1F497D" w:themeColor="text2"/>
          <w:sz w:val="28"/>
          <w:szCs w:val="28"/>
        </w:rPr>
      </w:pPr>
      <w:bookmarkStart w:id="13" w:name="_Toc239682117"/>
      <w:r w:rsidRPr="0EA4F018">
        <w:rPr>
          <w:color w:val="1F497D" w:themeColor="text2"/>
          <w:sz w:val="28"/>
          <w:szCs w:val="28"/>
        </w:rPr>
        <w:t>Quality,</w:t>
      </w:r>
      <w:r w:rsidR="5B60043B" w:rsidRPr="0EA4F018">
        <w:rPr>
          <w:color w:val="1F497D" w:themeColor="text2"/>
          <w:sz w:val="28"/>
          <w:szCs w:val="28"/>
        </w:rPr>
        <w:t xml:space="preserve"> Risk Assessment and</w:t>
      </w:r>
      <w:r w:rsidRPr="0EA4F018">
        <w:rPr>
          <w:color w:val="1F497D" w:themeColor="text2"/>
          <w:sz w:val="28"/>
          <w:szCs w:val="28"/>
        </w:rPr>
        <w:t xml:space="preserve"> Equality</w:t>
      </w:r>
      <w:bookmarkEnd w:id="13"/>
    </w:p>
    <w:p w14:paraId="6F21344F" w14:textId="77777777" w:rsidR="00BC3F2D" w:rsidRPr="00B473EF" w:rsidRDefault="00BC3F2D" w:rsidP="00BC3F2D">
      <w:pPr>
        <w:jc w:val="both"/>
        <w:rPr>
          <w:rFonts w:ascii="Arial" w:hAnsi="Arial" w:cs="Arial"/>
          <w:sz w:val="22"/>
          <w:szCs w:val="18"/>
        </w:rPr>
      </w:pPr>
      <w:r w:rsidRPr="00B473EF">
        <w:rPr>
          <w:rFonts w:ascii="Arial" w:hAnsi="Arial" w:cs="Arial"/>
          <w:sz w:val="22"/>
          <w:szCs w:val="18"/>
        </w:rPr>
        <w:t>The development of this plan has been supported by consideration of quality, equality and health inequalities to ensure that winter arrangements improve outcomes for all sections of the Gloucestershire population.</w:t>
      </w:r>
    </w:p>
    <w:p w14:paraId="67E0AA31" w14:textId="77777777" w:rsidR="00BC3F2D" w:rsidRPr="00B473EF" w:rsidRDefault="00BC3F2D" w:rsidP="00BC3F2D">
      <w:pPr>
        <w:jc w:val="both"/>
        <w:rPr>
          <w:rFonts w:ascii="Arial" w:hAnsi="Arial" w:cs="Arial"/>
          <w:sz w:val="22"/>
          <w:szCs w:val="18"/>
        </w:rPr>
      </w:pPr>
    </w:p>
    <w:p w14:paraId="30EDFE6E" w14:textId="508C2C62" w:rsidR="00BC3F2D" w:rsidRPr="00B473EF" w:rsidRDefault="1B5F4457" w:rsidP="00BC3F2D">
      <w:pPr>
        <w:jc w:val="both"/>
        <w:rPr>
          <w:rFonts w:ascii="Arial" w:hAnsi="Arial" w:cs="Arial"/>
          <w:sz w:val="22"/>
          <w:szCs w:val="22"/>
        </w:rPr>
      </w:pPr>
      <w:r w:rsidRPr="768AC530">
        <w:rPr>
          <w:rFonts w:ascii="Arial" w:hAnsi="Arial" w:cs="Arial"/>
          <w:sz w:val="22"/>
          <w:szCs w:val="22"/>
        </w:rPr>
        <w:t>The plan has also been developed in partnership with system stakeholders to ensure that commissioning decisions reflect local population need and support equitable access to services throughout the winter period.</w:t>
      </w:r>
    </w:p>
    <w:p w14:paraId="354699A1" w14:textId="77777777" w:rsidR="00BC3F2D" w:rsidRPr="00B473EF" w:rsidRDefault="00BC3F2D" w:rsidP="00BC3F2D">
      <w:pPr>
        <w:jc w:val="both"/>
        <w:rPr>
          <w:rFonts w:ascii="Arial" w:hAnsi="Arial" w:cs="Arial"/>
          <w:sz w:val="22"/>
          <w:szCs w:val="18"/>
        </w:rPr>
      </w:pPr>
    </w:p>
    <w:p w14:paraId="2FE738F2" w14:textId="624E66C1" w:rsidR="00762574" w:rsidRPr="0027188C" w:rsidRDefault="3F946D50" w:rsidP="3343EF95">
      <w:pPr>
        <w:jc w:val="both"/>
      </w:pPr>
      <w:r w:rsidRPr="0EA4F018">
        <w:rPr>
          <w:rFonts w:ascii="Arial" w:hAnsi="Arial" w:cs="Arial"/>
          <w:sz w:val="22"/>
          <w:szCs w:val="22"/>
        </w:rPr>
        <w:t>Progress against this Winter Plan will be monitored through established governance arrangements and regular reporting to the ICB Board. Delivery will be reviewed throughout the winter period, with formal post-winter evaluation informing future commissioning, service development and continuous improvement</w:t>
      </w:r>
      <w:r w:rsidR="45486110" w:rsidRPr="0EA4F018">
        <w:rPr>
          <w:rFonts w:ascii="Arial" w:hAnsi="Arial" w:cs="Arial"/>
          <w:sz w:val="22"/>
          <w:szCs w:val="22"/>
        </w:rPr>
        <w:t>.</w:t>
      </w:r>
      <w:bookmarkEnd w:id="6"/>
    </w:p>
    <w:p w14:paraId="17AC4C8A" w14:textId="5F683F5C" w:rsidR="0EA4F018" w:rsidRDefault="0EA4F018" w:rsidP="0EA4F018">
      <w:pPr>
        <w:jc w:val="both"/>
        <w:rPr>
          <w:rFonts w:ascii="Arial" w:hAnsi="Arial" w:cs="Arial"/>
          <w:sz w:val="22"/>
          <w:szCs w:val="22"/>
        </w:rPr>
      </w:pPr>
    </w:p>
    <w:p w14:paraId="0B34FB25" w14:textId="77777777" w:rsidR="000A1870" w:rsidRDefault="000A1870">
      <w:pPr>
        <w:widowControl/>
        <w:rPr>
          <w:rFonts w:ascii="Arial" w:hAnsi="Arial"/>
          <w:b/>
          <w:color w:val="1F497D" w:themeColor="text2"/>
          <w:sz w:val="32"/>
          <w:szCs w:val="22"/>
        </w:rPr>
      </w:pPr>
      <w:r>
        <w:br w:type="page"/>
      </w:r>
    </w:p>
    <w:p w14:paraId="1C495673" w14:textId="2CB3DD13" w:rsidR="45486110" w:rsidRDefault="532CFA77" w:rsidP="009568BF">
      <w:pPr>
        <w:pStyle w:val="PolicyHeading"/>
      </w:pPr>
      <w:bookmarkStart w:id="14" w:name="_Toc239682118"/>
      <w:r>
        <w:lastRenderedPageBreak/>
        <w:t>U</w:t>
      </w:r>
      <w:r w:rsidR="25B9BF73">
        <w:t xml:space="preserve">rgent and Emergency Care </w:t>
      </w:r>
      <w:r>
        <w:t>Transformation P</w:t>
      </w:r>
      <w:r w:rsidR="25B9BF73">
        <w:t>rogramme</w:t>
      </w:r>
      <w:bookmarkEnd w:id="14"/>
    </w:p>
    <w:p w14:paraId="403182C6" w14:textId="7D4627DF" w:rsidR="768AC530" w:rsidRDefault="768AC530" w:rsidP="768AC530">
      <w:pPr>
        <w:jc w:val="both"/>
        <w:rPr>
          <w:rFonts w:ascii="Arial" w:hAnsi="Arial" w:cs="Arial"/>
          <w:sz w:val="22"/>
          <w:szCs w:val="22"/>
        </w:rPr>
      </w:pPr>
    </w:p>
    <w:p w14:paraId="79B09D6E" w14:textId="7542B310" w:rsidR="438C016D" w:rsidRDefault="438C016D" w:rsidP="768AC530">
      <w:pPr>
        <w:jc w:val="both"/>
        <w:rPr>
          <w:rFonts w:ascii="Arial" w:hAnsi="Arial" w:cs="Arial"/>
          <w:sz w:val="22"/>
          <w:szCs w:val="22"/>
        </w:rPr>
      </w:pPr>
      <w:r w:rsidRPr="768AC530">
        <w:rPr>
          <w:rFonts w:ascii="Arial" w:hAnsi="Arial" w:cs="Arial"/>
          <w:sz w:val="22"/>
          <w:szCs w:val="22"/>
        </w:rPr>
        <w:t>Gloucestershire’s winter planning is underpinned by the Working as One Urgent Care and Flow Transformation Portfolio. This commissioned portfolio brings together the system priorities required to improve access, flow and outcomes across the urgent and emergency care pathway. It aligns immediate operational delivery with longer-term service redesign, ensuring winter resilience is supported by sustainable transformation rather than short-term additional capacity.</w:t>
      </w:r>
    </w:p>
    <w:p w14:paraId="480A446A" w14:textId="77777777" w:rsidR="00706449" w:rsidRPr="00706449" w:rsidRDefault="00706449" w:rsidP="00706449">
      <w:pPr>
        <w:jc w:val="both"/>
        <w:rPr>
          <w:rFonts w:ascii="Arial" w:hAnsi="Arial" w:cs="Arial"/>
          <w:sz w:val="22"/>
          <w:szCs w:val="18"/>
        </w:rPr>
      </w:pPr>
    </w:p>
    <w:p w14:paraId="4CEF755E" w14:textId="7E6AECFB" w:rsidR="00706449" w:rsidRPr="00706449" w:rsidRDefault="2EAC7D05" w:rsidP="00706449">
      <w:pPr>
        <w:jc w:val="both"/>
        <w:rPr>
          <w:rFonts w:ascii="Arial" w:hAnsi="Arial" w:cs="Arial"/>
          <w:sz w:val="22"/>
          <w:szCs w:val="22"/>
        </w:rPr>
      </w:pPr>
      <w:r w:rsidRPr="768AC530">
        <w:rPr>
          <w:rFonts w:ascii="Arial" w:hAnsi="Arial" w:cs="Arial"/>
          <w:sz w:val="22"/>
          <w:szCs w:val="22"/>
        </w:rPr>
        <w:t>The programme is</w:t>
      </w:r>
      <w:r w:rsidR="138218F8" w:rsidRPr="768AC530">
        <w:rPr>
          <w:rFonts w:ascii="Arial" w:hAnsi="Arial" w:cs="Arial"/>
          <w:sz w:val="22"/>
          <w:szCs w:val="22"/>
        </w:rPr>
        <w:t xml:space="preserve"> commissioned </w:t>
      </w:r>
      <w:r w:rsidRPr="768AC530">
        <w:rPr>
          <w:rFonts w:ascii="Arial" w:hAnsi="Arial" w:cs="Arial"/>
          <w:sz w:val="22"/>
          <w:szCs w:val="22"/>
        </w:rPr>
        <w:t xml:space="preserve">to systematically reduce the risk of delay-related harm; improve outcomes and support people to maintain or regain independence; reduce duplication for patients and staff; improve value for money; and deliver the ambitions within Gloucestershire's Joint Forward, Operational and Financial Plans. </w:t>
      </w:r>
    </w:p>
    <w:p w14:paraId="77539CB7" w14:textId="21ACCC17" w:rsidR="00706449" w:rsidRDefault="00706449" w:rsidP="768AC530">
      <w:pPr>
        <w:jc w:val="both"/>
        <w:rPr>
          <w:rFonts w:ascii="Arial" w:hAnsi="Arial" w:cs="Arial"/>
          <w:sz w:val="22"/>
          <w:szCs w:val="22"/>
        </w:rPr>
      </w:pPr>
    </w:p>
    <w:p w14:paraId="39BA54A5" w14:textId="77777777" w:rsidR="00706449" w:rsidRPr="00706449" w:rsidRDefault="00706449" w:rsidP="00706449">
      <w:pPr>
        <w:pStyle w:val="Heading3"/>
        <w:rPr>
          <w:color w:val="002060"/>
        </w:rPr>
      </w:pPr>
      <w:bookmarkStart w:id="15" w:name="_Toc239682119"/>
      <w:r w:rsidRPr="00706449">
        <w:rPr>
          <w:color w:val="002060"/>
        </w:rPr>
        <w:t>Our Transformation Priorities</w:t>
      </w:r>
      <w:bookmarkEnd w:id="15"/>
      <w:r w:rsidRPr="00706449">
        <w:rPr>
          <w:color w:val="002060"/>
        </w:rPr>
        <w:t xml:space="preserve"> </w:t>
      </w:r>
    </w:p>
    <w:p w14:paraId="174FCF3C" w14:textId="77777777" w:rsidR="00706449" w:rsidRDefault="00706449" w:rsidP="00706449">
      <w:pPr>
        <w:jc w:val="both"/>
        <w:rPr>
          <w:rFonts w:ascii="Arial" w:hAnsi="Arial" w:cs="Arial"/>
          <w:sz w:val="22"/>
          <w:szCs w:val="18"/>
        </w:rPr>
      </w:pPr>
    </w:p>
    <w:p w14:paraId="7BC98CA6" w14:textId="77777777" w:rsidR="00F90296" w:rsidRPr="00F90296" w:rsidRDefault="00F90296" w:rsidP="00F90296">
      <w:pPr>
        <w:jc w:val="both"/>
        <w:rPr>
          <w:rFonts w:ascii="Arial" w:eastAsia="Arial" w:hAnsi="Arial" w:cs="Arial"/>
          <w:sz w:val="22"/>
          <w:szCs w:val="22"/>
        </w:rPr>
      </w:pPr>
      <w:r w:rsidRPr="00F90296">
        <w:rPr>
          <w:rFonts w:ascii="Arial" w:eastAsia="Arial" w:hAnsi="Arial" w:cs="Arial"/>
          <w:sz w:val="22"/>
          <w:szCs w:val="22"/>
        </w:rPr>
        <w:t>The programme is structured around three interconnected priorities spanning the UEC pathway:</w:t>
      </w:r>
    </w:p>
    <w:p w14:paraId="7E25A460" w14:textId="77777777" w:rsidR="00F90296" w:rsidRPr="00F90296" w:rsidRDefault="00F90296" w:rsidP="00F90296">
      <w:pPr>
        <w:jc w:val="both"/>
        <w:rPr>
          <w:rFonts w:ascii="Arial" w:eastAsia="Arial" w:hAnsi="Arial" w:cs="Arial"/>
          <w:b/>
          <w:bCs/>
          <w:color w:val="002060"/>
          <w:sz w:val="22"/>
          <w:szCs w:val="22"/>
        </w:rPr>
      </w:pPr>
    </w:p>
    <w:p w14:paraId="0520029F" w14:textId="77777777" w:rsidR="00F90296" w:rsidRDefault="00F90296" w:rsidP="00F90296">
      <w:pPr>
        <w:jc w:val="both"/>
        <w:rPr>
          <w:rFonts w:ascii="Arial" w:eastAsia="Arial" w:hAnsi="Arial" w:cs="Arial"/>
          <w:sz w:val="22"/>
          <w:szCs w:val="22"/>
        </w:rPr>
      </w:pPr>
      <w:r w:rsidRPr="00F90296">
        <w:rPr>
          <w:rFonts w:ascii="Arial" w:eastAsia="Arial" w:hAnsi="Arial" w:cs="Arial"/>
          <w:b/>
          <w:bCs/>
          <w:color w:val="002060"/>
          <w:sz w:val="22"/>
          <w:szCs w:val="22"/>
        </w:rPr>
        <w:t xml:space="preserve">Priority 1 </w:t>
      </w:r>
      <w:r w:rsidRPr="00F90296">
        <w:rPr>
          <w:rFonts w:ascii="Arial" w:eastAsia="Arial" w:hAnsi="Arial" w:cs="Arial"/>
          <w:sz w:val="22"/>
          <w:szCs w:val="22"/>
        </w:rPr>
        <w:t>– Managing demand and providing care in the most appropriate setting.</w:t>
      </w:r>
    </w:p>
    <w:p w14:paraId="375D4A46" w14:textId="77777777" w:rsidR="00F90296" w:rsidRPr="00F90296" w:rsidRDefault="00F90296" w:rsidP="00F90296">
      <w:pPr>
        <w:jc w:val="both"/>
        <w:rPr>
          <w:rFonts w:ascii="Arial" w:eastAsia="Arial" w:hAnsi="Arial" w:cs="Arial"/>
          <w:color w:val="002060"/>
          <w:sz w:val="22"/>
          <w:szCs w:val="22"/>
        </w:rPr>
      </w:pPr>
    </w:p>
    <w:p w14:paraId="38113819" w14:textId="77777777" w:rsidR="00F90296" w:rsidRPr="00F90296" w:rsidRDefault="00F90296" w:rsidP="00F90296">
      <w:pPr>
        <w:jc w:val="both"/>
        <w:rPr>
          <w:rFonts w:ascii="Arial" w:eastAsia="Arial" w:hAnsi="Arial" w:cs="Arial"/>
          <w:sz w:val="22"/>
          <w:szCs w:val="22"/>
        </w:rPr>
      </w:pPr>
      <w:r w:rsidRPr="00F90296">
        <w:rPr>
          <w:rFonts w:ascii="Arial" w:eastAsia="Arial" w:hAnsi="Arial" w:cs="Arial"/>
          <w:sz w:val="22"/>
          <w:szCs w:val="22"/>
        </w:rPr>
        <w:t>This focuses on reducing avoidable reliance on acute hospital services by strengthening alternatives and improving coordination of urgent care. Key workstreams include the continued development of a Single Point of Access (SPOA) for healthcare professionals and development of the Urgent Community Response offer. The SPOA model is being developed iteratively following phased implementation, with the intention of reducing fragmentation and unnecessary hand-offs, strengthening senior clinical decision-making and increasing access to community and virtual alternatives to hospital attendance or admission.</w:t>
      </w:r>
    </w:p>
    <w:p w14:paraId="07A1E29D" w14:textId="77777777" w:rsidR="00F90296" w:rsidRPr="00F90296" w:rsidRDefault="00F90296" w:rsidP="00F90296">
      <w:pPr>
        <w:jc w:val="both"/>
        <w:rPr>
          <w:rFonts w:ascii="Arial" w:eastAsia="Arial" w:hAnsi="Arial" w:cs="Arial"/>
          <w:sz w:val="22"/>
          <w:szCs w:val="22"/>
        </w:rPr>
      </w:pPr>
    </w:p>
    <w:p w14:paraId="687F581B" w14:textId="77777777" w:rsidR="00F90296" w:rsidRDefault="00F90296" w:rsidP="00F90296">
      <w:pPr>
        <w:jc w:val="both"/>
        <w:rPr>
          <w:rFonts w:ascii="Arial" w:eastAsia="Arial" w:hAnsi="Arial" w:cs="Arial"/>
          <w:sz w:val="22"/>
          <w:szCs w:val="22"/>
        </w:rPr>
      </w:pPr>
      <w:r w:rsidRPr="00F90296">
        <w:rPr>
          <w:rFonts w:ascii="Arial" w:eastAsia="Arial" w:hAnsi="Arial" w:cs="Arial"/>
          <w:b/>
          <w:bCs/>
          <w:color w:val="002060"/>
          <w:sz w:val="22"/>
          <w:szCs w:val="22"/>
        </w:rPr>
        <w:t>Priority 2</w:t>
      </w:r>
      <w:r w:rsidRPr="00F90296">
        <w:rPr>
          <w:rFonts w:ascii="Arial" w:eastAsia="Arial" w:hAnsi="Arial" w:cs="Arial"/>
          <w:color w:val="002060"/>
          <w:sz w:val="22"/>
          <w:szCs w:val="22"/>
        </w:rPr>
        <w:t xml:space="preserve"> </w:t>
      </w:r>
      <w:r w:rsidRPr="00F90296">
        <w:rPr>
          <w:rFonts w:ascii="Arial" w:eastAsia="Arial" w:hAnsi="Arial" w:cs="Arial"/>
          <w:sz w:val="22"/>
          <w:szCs w:val="22"/>
        </w:rPr>
        <w:t>– Improving hospital flow and discharge.</w:t>
      </w:r>
    </w:p>
    <w:p w14:paraId="4401701E" w14:textId="77777777" w:rsidR="00F90296" w:rsidRPr="00F90296" w:rsidRDefault="00F90296" w:rsidP="00F90296">
      <w:pPr>
        <w:jc w:val="both"/>
        <w:rPr>
          <w:rFonts w:ascii="Arial" w:eastAsia="Arial" w:hAnsi="Arial" w:cs="Arial"/>
          <w:sz w:val="22"/>
          <w:szCs w:val="22"/>
        </w:rPr>
      </w:pPr>
    </w:p>
    <w:p w14:paraId="7863F10D" w14:textId="24FEC91B" w:rsidR="00F90296" w:rsidRPr="00F90296" w:rsidRDefault="1A4D3511" w:rsidP="00F90296">
      <w:pPr>
        <w:jc w:val="both"/>
        <w:rPr>
          <w:rFonts w:ascii="Arial" w:eastAsia="Arial" w:hAnsi="Arial" w:cs="Arial"/>
          <w:sz w:val="22"/>
          <w:szCs w:val="22"/>
        </w:rPr>
      </w:pPr>
      <w:r w:rsidRPr="768AC530">
        <w:rPr>
          <w:rFonts w:ascii="Arial" w:eastAsia="Arial" w:hAnsi="Arial" w:cs="Arial"/>
          <w:sz w:val="22"/>
          <w:szCs w:val="22"/>
        </w:rPr>
        <w:t>The second priority focuses on ensuring that people leave hospital at the earliest clinically appropriate point and that downstream capacity is used effectively. This includes sustainable delivery of Pathway 1 and Pathway 2, reducing delays for people who no longer meet the criteria to reside, and improving coordination of discharge through development of the Transfer of Care Hub model</w:t>
      </w:r>
      <w:r w:rsidR="6C14F884" w:rsidRPr="768AC530">
        <w:rPr>
          <w:rFonts w:ascii="Arial" w:eastAsia="Arial" w:hAnsi="Arial" w:cs="Arial"/>
          <w:sz w:val="22"/>
          <w:szCs w:val="22"/>
        </w:rPr>
        <w:t xml:space="preserve"> as per the national framework</w:t>
      </w:r>
    </w:p>
    <w:p w14:paraId="2D23797C" w14:textId="77777777" w:rsidR="00F90296" w:rsidRPr="00F90296" w:rsidRDefault="00F90296" w:rsidP="00F90296">
      <w:pPr>
        <w:jc w:val="both"/>
        <w:rPr>
          <w:rFonts w:ascii="Arial" w:eastAsia="Arial" w:hAnsi="Arial" w:cs="Arial"/>
          <w:sz w:val="22"/>
          <w:szCs w:val="22"/>
        </w:rPr>
      </w:pPr>
    </w:p>
    <w:p w14:paraId="44F843F7" w14:textId="77777777" w:rsidR="00F90296" w:rsidRDefault="00F90296" w:rsidP="00F90296">
      <w:pPr>
        <w:jc w:val="both"/>
        <w:rPr>
          <w:rFonts w:ascii="Arial" w:eastAsia="Arial" w:hAnsi="Arial" w:cs="Arial"/>
          <w:sz w:val="22"/>
          <w:szCs w:val="22"/>
        </w:rPr>
      </w:pPr>
      <w:r w:rsidRPr="00F90296">
        <w:rPr>
          <w:rFonts w:ascii="Arial" w:eastAsia="Arial" w:hAnsi="Arial" w:cs="Arial"/>
          <w:b/>
          <w:bCs/>
          <w:color w:val="002060"/>
          <w:sz w:val="22"/>
          <w:szCs w:val="22"/>
        </w:rPr>
        <w:t>Priority 3</w:t>
      </w:r>
      <w:r w:rsidRPr="00F90296">
        <w:rPr>
          <w:rFonts w:ascii="Arial" w:eastAsia="Arial" w:hAnsi="Arial" w:cs="Arial"/>
          <w:color w:val="002060"/>
          <w:sz w:val="22"/>
          <w:szCs w:val="22"/>
        </w:rPr>
        <w:t xml:space="preserve"> </w:t>
      </w:r>
      <w:r w:rsidRPr="00F90296">
        <w:rPr>
          <w:rFonts w:ascii="Arial" w:eastAsia="Arial" w:hAnsi="Arial" w:cs="Arial"/>
          <w:sz w:val="22"/>
          <w:szCs w:val="22"/>
        </w:rPr>
        <w:t>– Developing the long-term model for urgent and intermediate care.</w:t>
      </w:r>
    </w:p>
    <w:p w14:paraId="0A4B35D5" w14:textId="77777777" w:rsidR="00F90296" w:rsidRPr="00F90296" w:rsidRDefault="00F90296" w:rsidP="00F90296">
      <w:pPr>
        <w:jc w:val="both"/>
        <w:rPr>
          <w:rFonts w:ascii="Arial" w:eastAsia="Arial" w:hAnsi="Arial" w:cs="Arial"/>
          <w:sz w:val="22"/>
          <w:szCs w:val="22"/>
        </w:rPr>
      </w:pPr>
    </w:p>
    <w:p w14:paraId="0354443C" w14:textId="77777777" w:rsidR="00F90296" w:rsidRPr="00F90296" w:rsidRDefault="00F90296" w:rsidP="00F90296">
      <w:pPr>
        <w:jc w:val="both"/>
        <w:rPr>
          <w:rFonts w:ascii="Arial" w:eastAsia="Arial" w:hAnsi="Arial" w:cs="Arial"/>
          <w:sz w:val="22"/>
          <w:szCs w:val="22"/>
        </w:rPr>
      </w:pPr>
      <w:r w:rsidRPr="00F90296">
        <w:rPr>
          <w:rFonts w:ascii="Arial" w:eastAsia="Arial" w:hAnsi="Arial" w:cs="Arial"/>
          <w:sz w:val="22"/>
          <w:szCs w:val="22"/>
        </w:rPr>
        <w:t xml:space="preserve">Alongside immediate improvement, the programme is developing the longer-term model required to meet Gloucestershire's future population needs. This includes development of a home-by-default intermediate care model, informed by </w:t>
      </w:r>
      <w:proofErr w:type="gramStart"/>
      <w:r w:rsidRPr="00F90296">
        <w:rPr>
          <w:rFonts w:ascii="Arial" w:eastAsia="Arial" w:hAnsi="Arial" w:cs="Arial"/>
          <w:sz w:val="22"/>
          <w:szCs w:val="22"/>
        </w:rPr>
        <w:t>Pathway</w:t>
      </w:r>
      <w:proofErr w:type="gramEnd"/>
      <w:r w:rsidRPr="00F90296">
        <w:rPr>
          <w:rFonts w:ascii="Arial" w:eastAsia="Arial" w:hAnsi="Arial" w:cs="Arial"/>
          <w:sz w:val="22"/>
          <w:szCs w:val="22"/>
        </w:rPr>
        <w:t xml:space="preserve"> 1 and 2 redesign and learning from Community Hospital tests of change, together with consideration of the future Urgent Treatment Centre and Minor Injury and Illness Unit offer, including the opportunity for a co-located UTC at Gloucestershire Royal Hospital.</w:t>
      </w:r>
    </w:p>
    <w:p w14:paraId="1D91713A" w14:textId="5500000C" w:rsidR="000A1870" w:rsidRPr="000A1870" w:rsidRDefault="000A1870" w:rsidP="768AC530">
      <w:pPr>
        <w:jc w:val="both"/>
        <w:rPr>
          <w:rFonts w:ascii="Arial" w:eastAsia="Arial" w:hAnsi="Arial" w:cs="Arial"/>
          <w:sz w:val="22"/>
          <w:szCs w:val="22"/>
        </w:rPr>
      </w:pPr>
    </w:p>
    <w:p w14:paraId="30F0A43E" w14:textId="68AB7A32" w:rsidR="000A1870" w:rsidRPr="000A1870" w:rsidRDefault="3FA94749" w:rsidP="000A1870">
      <w:pPr>
        <w:jc w:val="both"/>
        <w:rPr>
          <w:rFonts w:ascii="Arial" w:eastAsia="Arial" w:hAnsi="Arial" w:cs="Arial"/>
          <w:sz w:val="22"/>
          <w:szCs w:val="22"/>
        </w:rPr>
      </w:pPr>
      <w:r w:rsidRPr="768AC530">
        <w:rPr>
          <w:rFonts w:ascii="Arial" w:eastAsia="Arial" w:hAnsi="Arial" w:cs="Arial"/>
          <w:sz w:val="22"/>
          <w:szCs w:val="22"/>
        </w:rPr>
        <w:t>It is expected that these programmes will continue to be delivered against agreed milestones</w:t>
      </w:r>
      <w:r w:rsidR="2B6339D8" w:rsidRPr="768AC530">
        <w:rPr>
          <w:rFonts w:ascii="Arial" w:eastAsia="Arial" w:hAnsi="Arial" w:cs="Arial"/>
          <w:sz w:val="22"/>
          <w:szCs w:val="22"/>
        </w:rPr>
        <w:t xml:space="preserve"> within the UEC Portfolio Board</w:t>
      </w:r>
      <w:r w:rsidR="43C5FF00" w:rsidRPr="768AC530">
        <w:rPr>
          <w:rFonts w:ascii="Arial" w:eastAsia="Arial" w:hAnsi="Arial" w:cs="Arial"/>
          <w:sz w:val="22"/>
          <w:szCs w:val="22"/>
        </w:rPr>
        <w:t>. Wherever possible, winter interventions will reinforce the future model of care: strengthening community alternatives to admission, improving access and navigation through SPOA, supporting timely discharge, maximising Pathway 1 and 2 effectiveness and progressing the longer-term intermediate and urgent care models.</w:t>
      </w:r>
    </w:p>
    <w:p w14:paraId="1AD9B285" w14:textId="77777777" w:rsidR="000A1870" w:rsidRPr="000A1870" w:rsidRDefault="000A1870" w:rsidP="000A1870">
      <w:pPr>
        <w:jc w:val="both"/>
        <w:rPr>
          <w:rFonts w:ascii="Arial" w:eastAsia="Arial" w:hAnsi="Arial" w:cs="Arial"/>
          <w:sz w:val="22"/>
          <w:szCs w:val="22"/>
        </w:rPr>
      </w:pPr>
    </w:p>
    <w:p w14:paraId="34A7488A" w14:textId="4B9CBBA7" w:rsidR="00351A18" w:rsidRPr="00706449" w:rsidRDefault="000A1870" w:rsidP="000A1870">
      <w:pPr>
        <w:jc w:val="both"/>
        <w:rPr>
          <w:sz w:val="22"/>
          <w:szCs w:val="22"/>
        </w:rPr>
      </w:pPr>
      <w:r w:rsidRPr="768AC530">
        <w:rPr>
          <w:rFonts w:ascii="Arial" w:eastAsia="Arial" w:hAnsi="Arial" w:cs="Arial"/>
          <w:sz w:val="22"/>
          <w:szCs w:val="22"/>
        </w:rPr>
        <w:br w:type="page"/>
      </w:r>
    </w:p>
    <w:p w14:paraId="50EECD25" w14:textId="402DB5E1" w:rsidR="00762574" w:rsidRPr="0027188C" w:rsidRDefault="1D88FE6C" w:rsidP="00074005">
      <w:pPr>
        <w:pStyle w:val="PolicyHeading"/>
        <w:rPr>
          <w:rFonts w:eastAsia="Arial"/>
        </w:rPr>
      </w:pPr>
      <w:bookmarkStart w:id="16" w:name="_Toc239682120"/>
      <w:r w:rsidRPr="0EA4F018">
        <w:rPr>
          <w:rFonts w:eastAsia="Arial"/>
        </w:rPr>
        <w:lastRenderedPageBreak/>
        <w:t>Winter Planning and Delivery</w:t>
      </w:r>
      <w:bookmarkEnd w:id="16"/>
    </w:p>
    <w:p w14:paraId="68F0B8F7" w14:textId="77777777" w:rsidR="008F4C14" w:rsidRDefault="008F4C14" w:rsidP="007947EE">
      <w:pPr>
        <w:jc w:val="both"/>
        <w:rPr>
          <w:rFonts w:ascii="Arial" w:hAnsi="Arial" w:cs="Arial"/>
          <w:sz w:val="22"/>
          <w:szCs w:val="18"/>
        </w:rPr>
      </w:pPr>
    </w:p>
    <w:p w14:paraId="230B43D1" w14:textId="5C191E54" w:rsidR="00DF4841" w:rsidRPr="000530B1" w:rsidRDefault="00DF4841" w:rsidP="000530B1">
      <w:pPr>
        <w:pStyle w:val="Heading3"/>
        <w:rPr>
          <w:color w:val="1F497D" w:themeColor="text2"/>
          <w:sz w:val="28"/>
          <w:szCs w:val="22"/>
        </w:rPr>
      </w:pPr>
      <w:bookmarkStart w:id="17" w:name="_Toc239682121"/>
      <w:r w:rsidRPr="000530B1">
        <w:rPr>
          <w:color w:val="1F497D" w:themeColor="text2"/>
          <w:sz w:val="28"/>
          <w:szCs w:val="22"/>
        </w:rPr>
        <w:t>P</w:t>
      </w:r>
      <w:r w:rsidR="0045322B" w:rsidRPr="000530B1">
        <w:rPr>
          <w:color w:val="1F497D" w:themeColor="text2"/>
          <w:sz w:val="28"/>
          <w:szCs w:val="22"/>
        </w:rPr>
        <w:t>r</w:t>
      </w:r>
      <w:r w:rsidRPr="000530B1">
        <w:rPr>
          <w:color w:val="1F497D" w:themeColor="text2"/>
          <w:sz w:val="28"/>
          <w:szCs w:val="22"/>
        </w:rPr>
        <w:t>evention and Protecting Vulnerable People</w:t>
      </w:r>
      <w:bookmarkEnd w:id="17"/>
    </w:p>
    <w:p w14:paraId="02356BC4" w14:textId="77777777" w:rsidR="00DF4841" w:rsidRPr="00DF4841" w:rsidRDefault="00DF4841" w:rsidP="00DF4841">
      <w:pPr>
        <w:jc w:val="both"/>
        <w:rPr>
          <w:rFonts w:ascii="Arial" w:hAnsi="Arial" w:cs="Arial"/>
          <w:sz w:val="22"/>
          <w:szCs w:val="18"/>
        </w:rPr>
      </w:pPr>
    </w:p>
    <w:p w14:paraId="5673F294" w14:textId="77777777" w:rsidR="00DF4841" w:rsidRDefault="00DF4841" w:rsidP="00DF4841">
      <w:pPr>
        <w:jc w:val="both"/>
        <w:rPr>
          <w:rFonts w:ascii="Arial" w:hAnsi="Arial" w:cs="Arial"/>
          <w:sz w:val="22"/>
          <w:szCs w:val="18"/>
        </w:rPr>
      </w:pPr>
      <w:r w:rsidRPr="008F4C14">
        <w:rPr>
          <w:rFonts w:ascii="Arial" w:hAnsi="Arial" w:cs="Arial"/>
          <w:sz w:val="22"/>
          <w:szCs w:val="18"/>
        </w:rPr>
        <w:t>(BAS Domain 1)</w:t>
      </w:r>
    </w:p>
    <w:p w14:paraId="0456DA4B" w14:textId="77777777" w:rsidR="00D804B7" w:rsidRDefault="00D804B7" w:rsidP="0018686B">
      <w:pPr>
        <w:jc w:val="both"/>
        <w:rPr>
          <w:rFonts w:ascii="Arial" w:hAnsi="Arial" w:cs="Arial"/>
          <w:sz w:val="22"/>
          <w:szCs w:val="22"/>
        </w:rPr>
      </w:pPr>
    </w:p>
    <w:p w14:paraId="5A8AACB6" w14:textId="77777777" w:rsidR="00F504DC" w:rsidRPr="00F504DC" w:rsidRDefault="00F504DC" w:rsidP="00F504DC">
      <w:pPr>
        <w:jc w:val="both"/>
        <w:rPr>
          <w:rFonts w:ascii="Arial" w:hAnsi="Arial" w:cs="Arial"/>
          <w:sz w:val="22"/>
          <w:szCs w:val="22"/>
        </w:rPr>
      </w:pPr>
      <w:r w:rsidRPr="00F504DC">
        <w:rPr>
          <w:rFonts w:ascii="Arial" w:hAnsi="Arial" w:cs="Arial"/>
          <w:sz w:val="22"/>
          <w:szCs w:val="22"/>
        </w:rPr>
        <w:t>Preventing avoidable deterioration and reducing demand on urgent and emergency care services remains a cornerstone of Gloucestershire's winter approach. The ICB will continue to commission and assure preventative services that identify those at greatest risk of deterioration, enable earlier intervention and support people to remain independent within their own homes wherever possible. Through population health management, risk stratification and neighbourhood working, the system will target support towards vulnerable cohorts, including older people, those living with frailty or long-term conditions, and residents of care homes.</w:t>
      </w:r>
    </w:p>
    <w:p w14:paraId="1510ABFE" w14:textId="77777777" w:rsidR="00F504DC" w:rsidRPr="00F504DC" w:rsidRDefault="00F504DC" w:rsidP="00F504DC">
      <w:pPr>
        <w:jc w:val="both"/>
        <w:rPr>
          <w:rFonts w:ascii="Arial" w:hAnsi="Arial" w:cs="Arial"/>
          <w:sz w:val="22"/>
          <w:szCs w:val="22"/>
        </w:rPr>
      </w:pPr>
    </w:p>
    <w:p w14:paraId="3BA2FC00" w14:textId="77777777" w:rsidR="00F504DC" w:rsidRPr="00F504DC" w:rsidRDefault="00F504DC" w:rsidP="00F504DC">
      <w:pPr>
        <w:jc w:val="both"/>
        <w:rPr>
          <w:rFonts w:ascii="Arial" w:hAnsi="Arial" w:cs="Arial"/>
          <w:sz w:val="22"/>
          <w:szCs w:val="22"/>
        </w:rPr>
      </w:pPr>
      <w:r w:rsidRPr="00F504DC">
        <w:rPr>
          <w:rFonts w:ascii="Arial" w:hAnsi="Arial" w:cs="Arial"/>
          <w:sz w:val="22"/>
          <w:szCs w:val="22"/>
        </w:rPr>
        <w:t>A coordinated programme of preventative interventions will be delivered across the system, including seasonal vaccination, anticipatory care planning, medicines optimisation, falls prevention and proactive community support. These interventions will be complemented by robust infection prevention and management arrangements, helping to reduce avoidable winter-related illness and hospital admission, protect vulnerable populations and minimise the operational impact of seasonal infection.</w:t>
      </w:r>
    </w:p>
    <w:p w14:paraId="76AA65D6" w14:textId="77777777" w:rsidR="00F504DC" w:rsidRPr="00F504DC" w:rsidRDefault="00F504DC" w:rsidP="00F504DC">
      <w:pPr>
        <w:jc w:val="both"/>
        <w:rPr>
          <w:rFonts w:ascii="Arial" w:hAnsi="Arial" w:cs="Arial"/>
          <w:sz w:val="22"/>
          <w:szCs w:val="22"/>
        </w:rPr>
      </w:pPr>
    </w:p>
    <w:p w14:paraId="0211BAC8" w14:textId="1CD9A861" w:rsidR="00F504DC" w:rsidRPr="00F504DC" w:rsidRDefault="0FA369A5" w:rsidP="00F504DC">
      <w:pPr>
        <w:jc w:val="both"/>
        <w:rPr>
          <w:rFonts w:ascii="Arial" w:hAnsi="Arial" w:cs="Arial"/>
          <w:sz w:val="22"/>
          <w:szCs w:val="22"/>
        </w:rPr>
      </w:pPr>
      <w:r w:rsidRPr="768AC530">
        <w:rPr>
          <w:rFonts w:ascii="Arial" w:hAnsi="Arial" w:cs="Arial"/>
          <w:sz w:val="22"/>
          <w:szCs w:val="22"/>
        </w:rPr>
        <w:t>The</w:t>
      </w:r>
      <w:r w:rsidR="4F14F36B" w:rsidRPr="768AC530">
        <w:rPr>
          <w:rFonts w:ascii="Arial" w:hAnsi="Arial" w:cs="Arial"/>
          <w:sz w:val="22"/>
          <w:szCs w:val="22"/>
        </w:rPr>
        <w:t xml:space="preserve"> ICB</w:t>
      </w:r>
      <w:r w:rsidR="386DC356" w:rsidRPr="768AC530">
        <w:rPr>
          <w:rFonts w:ascii="Arial" w:hAnsi="Arial" w:cs="Arial"/>
          <w:sz w:val="22"/>
          <w:szCs w:val="22"/>
        </w:rPr>
        <w:t xml:space="preserve"> has led a </w:t>
      </w:r>
      <w:r w:rsidR="4F14F36B" w:rsidRPr="768AC530">
        <w:rPr>
          <w:rFonts w:ascii="Arial" w:hAnsi="Arial" w:cs="Arial"/>
          <w:sz w:val="22"/>
          <w:szCs w:val="22"/>
        </w:rPr>
        <w:t>whole-population health segmentation programme, which has strengthened the system's understanding of how different population groups access and use health and care services across Gloucestershire. The intelligence generated through this work is being used to identify opportunities for earlier intervention and to inform targeted commissioning and transformation with system providers, including through the Gloucestershire Provider Partnership. Initial areas of focus include frailty, complex long-term conditions and serious mental illness, supporting the development of more proactive and personalised models of care for cohorts at greatest risk of deterioration and unplanned service use.</w:t>
      </w:r>
    </w:p>
    <w:p w14:paraId="3B57DF16" w14:textId="5EBCA5D5" w:rsidR="00F504DC" w:rsidRPr="00F504DC" w:rsidRDefault="00F504DC" w:rsidP="768AC530">
      <w:pPr>
        <w:jc w:val="both"/>
        <w:rPr>
          <w:rFonts w:ascii="Arial" w:hAnsi="Arial" w:cs="Arial"/>
          <w:sz w:val="22"/>
          <w:szCs w:val="22"/>
        </w:rPr>
      </w:pPr>
    </w:p>
    <w:p w14:paraId="3516199F" w14:textId="1AB4C178" w:rsidR="00F504DC" w:rsidRPr="00F504DC" w:rsidRDefault="4F14F36B" w:rsidP="00F504DC">
      <w:pPr>
        <w:jc w:val="both"/>
        <w:rPr>
          <w:rFonts w:ascii="Arial" w:hAnsi="Arial" w:cs="Arial"/>
          <w:sz w:val="22"/>
          <w:szCs w:val="22"/>
          <w:highlight w:val="yellow"/>
        </w:rPr>
      </w:pPr>
      <w:r w:rsidRPr="768AC530">
        <w:rPr>
          <w:rFonts w:ascii="Arial" w:hAnsi="Arial" w:cs="Arial"/>
          <w:sz w:val="22"/>
          <w:szCs w:val="22"/>
        </w:rPr>
        <w:t>Seasonal vaccination will form a key part of this preventative approach. Working in partnership with Primary Care, Community Pharmacy, Gloucestershire Health and Care NHS Foundation Trust (GHC), Gloucestershire Hospitals NHS Foundation Trust (GHFT), Public Health and the Voluntary, Community and Social Enterprise (VCSE) sector, the ICB will oversee delivery of targeted vaccination programmes for eligible cohorts. Building on learning from previous campaigns, targeted communications, outreach activity and population health intelligence will be used to support uptake amongst underserved communities, care home residents and housebound patients. Performance will be monitored throughout the campaign to maximise protection ahead of peak winter demand and reduce avoidable respiratory illness and admission.</w:t>
      </w:r>
    </w:p>
    <w:p w14:paraId="2BE1BF4E" w14:textId="77777777" w:rsidR="00F504DC" w:rsidRPr="00F504DC" w:rsidRDefault="00F504DC" w:rsidP="00F504DC">
      <w:pPr>
        <w:jc w:val="both"/>
        <w:rPr>
          <w:rFonts w:ascii="Arial" w:hAnsi="Arial" w:cs="Arial"/>
          <w:sz w:val="22"/>
          <w:szCs w:val="22"/>
        </w:rPr>
      </w:pPr>
    </w:p>
    <w:p w14:paraId="30F97B6B" w14:textId="5A96E0CF" w:rsidR="00F504DC" w:rsidRPr="004E44F6" w:rsidRDefault="4F14F36B" w:rsidP="00F504DC">
      <w:pPr>
        <w:jc w:val="both"/>
        <w:rPr>
          <w:b/>
          <w:bCs/>
          <w:color w:val="1F497D" w:themeColor="text2"/>
        </w:rPr>
      </w:pPr>
      <w:r w:rsidRPr="004E44F6">
        <w:rPr>
          <w:rFonts w:ascii="Arial" w:hAnsi="Arial" w:cs="Arial"/>
          <w:b/>
          <w:bCs/>
          <w:color w:val="1F497D" w:themeColor="text2"/>
          <w:sz w:val="22"/>
          <w:szCs w:val="22"/>
        </w:rPr>
        <w:t>Infection Prevention and Control (IPC)</w:t>
      </w:r>
      <w:r w:rsidR="43236109" w:rsidRPr="004E44F6">
        <w:rPr>
          <w:rFonts w:ascii="Arial" w:hAnsi="Arial" w:cs="Arial"/>
          <w:b/>
          <w:bCs/>
          <w:color w:val="1F497D" w:themeColor="text2"/>
          <w:sz w:val="22"/>
          <w:szCs w:val="22"/>
        </w:rPr>
        <w:t>:</w:t>
      </w:r>
    </w:p>
    <w:p w14:paraId="0879CD3B" w14:textId="6D4E88C3" w:rsidR="00F504DC" w:rsidRPr="00F504DC" w:rsidRDefault="00F504DC" w:rsidP="768AC530">
      <w:pPr>
        <w:jc w:val="both"/>
        <w:rPr>
          <w:rFonts w:ascii="Arial" w:hAnsi="Arial" w:cs="Arial"/>
          <w:sz w:val="22"/>
          <w:szCs w:val="22"/>
        </w:rPr>
      </w:pPr>
    </w:p>
    <w:p w14:paraId="0E74E550" w14:textId="38BA66DD" w:rsidR="00F504DC" w:rsidRPr="00F504DC" w:rsidRDefault="4F14F36B" w:rsidP="00F504DC">
      <w:pPr>
        <w:jc w:val="both"/>
      </w:pPr>
      <w:r w:rsidRPr="768AC530">
        <w:rPr>
          <w:rFonts w:ascii="Arial" w:hAnsi="Arial" w:cs="Arial"/>
          <w:sz w:val="22"/>
          <w:szCs w:val="22"/>
        </w:rPr>
        <w:t xml:space="preserve">Learning from Winter 2025/26 </w:t>
      </w:r>
      <w:r w:rsidR="2BE9B67C" w:rsidRPr="768AC530">
        <w:rPr>
          <w:rFonts w:ascii="Arial" w:hAnsi="Arial" w:cs="Arial"/>
          <w:sz w:val="22"/>
          <w:szCs w:val="22"/>
        </w:rPr>
        <w:t xml:space="preserve">within the acute trust </w:t>
      </w:r>
      <w:r w:rsidRPr="768AC530">
        <w:rPr>
          <w:rFonts w:ascii="Arial" w:hAnsi="Arial" w:cs="Arial"/>
          <w:sz w:val="22"/>
          <w:szCs w:val="22"/>
        </w:rPr>
        <w:t>demonstrated the benefits of closer collaboration between IPC and operational site teams, including daily touchpoints, earlier action in response to symptoms ahead of confirmed results and the “Don’t wait, isolate” approach, particularly in response to Norovirus. Enhanced cleaning processes also supported efforts to minimise nosocomial spread and recolonisation of organisms. Collectively, these measures contributed to fewer acute beds being closed due to infection control than in previous years, despite infection rates being higher or comparable, alongside greater consistency in available bed capacity.</w:t>
      </w:r>
    </w:p>
    <w:p w14:paraId="0E35FCB5" w14:textId="66CA6091" w:rsidR="00782A45" w:rsidRDefault="00782A45" w:rsidP="768AC530">
      <w:pPr>
        <w:jc w:val="both"/>
        <w:rPr>
          <w:rFonts w:ascii="Arial" w:hAnsi="Arial" w:cs="Arial"/>
          <w:sz w:val="22"/>
          <w:szCs w:val="22"/>
        </w:rPr>
      </w:pPr>
    </w:p>
    <w:p w14:paraId="428EDD15" w14:textId="2B7ECD27" w:rsidR="00782A45" w:rsidRDefault="7B281754" w:rsidP="00F504DC">
      <w:pPr>
        <w:jc w:val="both"/>
      </w:pPr>
      <w:r w:rsidRPr="768AC530">
        <w:rPr>
          <w:rFonts w:ascii="Arial" w:hAnsi="Arial" w:cs="Arial"/>
          <w:sz w:val="22"/>
          <w:szCs w:val="22"/>
        </w:rPr>
        <w:t>In terms of community and care home oversight plans are in place to:</w:t>
      </w:r>
    </w:p>
    <w:p w14:paraId="43949579" w14:textId="06A49FE4" w:rsidR="00782A45" w:rsidRDefault="00782A45" w:rsidP="768AC530">
      <w:pPr>
        <w:jc w:val="both"/>
        <w:rPr>
          <w:rFonts w:ascii="Arial" w:hAnsi="Arial" w:cs="Arial"/>
          <w:sz w:val="22"/>
          <w:szCs w:val="22"/>
        </w:rPr>
      </w:pPr>
    </w:p>
    <w:p w14:paraId="7C2EADDE" w14:textId="6664DB94" w:rsidR="00782A45" w:rsidRDefault="7885A08A" w:rsidP="768AC530">
      <w:pPr>
        <w:numPr>
          <w:ilvl w:val="0"/>
          <w:numId w:val="17"/>
        </w:numPr>
        <w:jc w:val="both"/>
        <w:rPr>
          <w:rFonts w:ascii="Arial" w:hAnsi="Arial" w:cs="Arial"/>
          <w:sz w:val="22"/>
          <w:szCs w:val="22"/>
        </w:rPr>
      </w:pPr>
      <w:r w:rsidRPr="768AC530">
        <w:rPr>
          <w:rFonts w:ascii="Arial" w:hAnsi="Arial" w:cs="Arial"/>
          <w:sz w:val="22"/>
          <w:szCs w:val="22"/>
        </w:rPr>
        <w:t xml:space="preserve">Strengthen core IPC practice across all providers Ensuring consistent adherence to </w:t>
      </w:r>
      <w:r w:rsidRPr="768AC530">
        <w:rPr>
          <w:rFonts w:ascii="Arial" w:hAnsi="Arial" w:cs="Arial"/>
          <w:sz w:val="22"/>
          <w:szCs w:val="22"/>
        </w:rPr>
        <w:lastRenderedPageBreak/>
        <w:t>hand hygiene, PPE use, environmental cleaning, and safe clinical practice, supported by regular training and competency checks.</w:t>
      </w:r>
    </w:p>
    <w:p w14:paraId="5A3FE2E5" w14:textId="1F4502CE" w:rsidR="00782A45" w:rsidRDefault="7885A08A" w:rsidP="768AC530">
      <w:pPr>
        <w:numPr>
          <w:ilvl w:val="0"/>
          <w:numId w:val="17"/>
        </w:numPr>
        <w:jc w:val="both"/>
        <w:rPr>
          <w:rFonts w:ascii="Arial" w:hAnsi="Arial" w:cs="Arial"/>
          <w:sz w:val="22"/>
          <w:szCs w:val="22"/>
        </w:rPr>
      </w:pPr>
      <w:r w:rsidRPr="768AC530">
        <w:rPr>
          <w:rFonts w:ascii="Arial" w:hAnsi="Arial" w:cs="Arial"/>
          <w:sz w:val="22"/>
          <w:szCs w:val="22"/>
        </w:rPr>
        <w:t>Embed robust outbreak prevention and response Clear escalation routes, rapid testing access, and coordinated support from public health and community teams will minimise transmission and reduce disruption to resident care.</w:t>
      </w:r>
    </w:p>
    <w:p w14:paraId="2FE8B400" w14:textId="053C9F1B" w:rsidR="00782A45" w:rsidRDefault="7885A08A" w:rsidP="768AC530">
      <w:pPr>
        <w:numPr>
          <w:ilvl w:val="0"/>
          <w:numId w:val="17"/>
        </w:numPr>
        <w:jc w:val="both"/>
        <w:rPr>
          <w:rFonts w:ascii="Arial" w:hAnsi="Arial" w:cs="Arial"/>
          <w:sz w:val="22"/>
          <w:szCs w:val="22"/>
        </w:rPr>
      </w:pPr>
      <w:r w:rsidRPr="768AC530">
        <w:rPr>
          <w:rFonts w:ascii="Arial" w:hAnsi="Arial" w:cs="Arial"/>
          <w:sz w:val="22"/>
          <w:szCs w:val="22"/>
        </w:rPr>
        <w:t>Improve vaccination uptake for residents and staff Continued focus on seasonal vaccination programmes to reduce risk from respiratory infections and maintain resilience during winter.</w:t>
      </w:r>
    </w:p>
    <w:p w14:paraId="517D4162" w14:textId="76235E91" w:rsidR="00782A45" w:rsidRDefault="7885A08A" w:rsidP="768AC530">
      <w:pPr>
        <w:numPr>
          <w:ilvl w:val="0"/>
          <w:numId w:val="17"/>
        </w:numPr>
        <w:jc w:val="both"/>
        <w:rPr>
          <w:rFonts w:ascii="Arial" w:hAnsi="Arial" w:cs="Arial"/>
          <w:sz w:val="22"/>
          <w:szCs w:val="22"/>
        </w:rPr>
      </w:pPr>
      <w:r w:rsidRPr="768AC530">
        <w:rPr>
          <w:rFonts w:ascii="Arial" w:hAnsi="Arial" w:cs="Arial"/>
          <w:sz w:val="22"/>
          <w:szCs w:val="22"/>
        </w:rPr>
        <w:t>Enhance assurance and monitoring Routine IPC audits, data reporting, and targeted support for homes requiring improvement will strengthen system oversight and quality.</w:t>
      </w:r>
    </w:p>
    <w:p w14:paraId="3D78AF87" w14:textId="01A6CA9E" w:rsidR="00782A45" w:rsidRDefault="7885A08A" w:rsidP="768AC530">
      <w:pPr>
        <w:numPr>
          <w:ilvl w:val="0"/>
          <w:numId w:val="17"/>
        </w:numPr>
        <w:jc w:val="both"/>
        <w:rPr>
          <w:rFonts w:ascii="Arial" w:hAnsi="Arial" w:cs="Arial"/>
          <w:sz w:val="22"/>
          <w:szCs w:val="22"/>
        </w:rPr>
      </w:pPr>
      <w:r w:rsidRPr="768AC530">
        <w:rPr>
          <w:rFonts w:ascii="Arial" w:hAnsi="Arial" w:cs="Arial"/>
          <w:sz w:val="22"/>
          <w:szCs w:val="22"/>
        </w:rPr>
        <w:t>Support workforce resilience Ensuring staff have access to training, guidance, and wellbeing support to maintain safe practice and reduce sickness</w:t>
      </w:r>
      <w:r w:rsidR="00F504DC">
        <w:noBreakHyphen/>
      </w:r>
      <w:r w:rsidRPr="768AC530">
        <w:rPr>
          <w:rFonts w:ascii="Arial" w:hAnsi="Arial" w:cs="Arial"/>
          <w:sz w:val="22"/>
          <w:szCs w:val="22"/>
        </w:rPr>
        <w:t>related staffing pressures.</w:t>
      </w:r>
    </w:p>
    <w:p w14:paraId="2D8C1D71" w14:textId="77777777" w:rsidR="00F504DC" w:rsidRPr="00DF4841" w:rsidRDefault="00F504DC" w:rsidP="00F504DC">
      <w:pPr>
        <w:jc w:val="both"/>
        <w:rPr>
          <w:rFonts w:ascii="Arial" w:hAnsi="Arial" w:cs="Arial"/>
          <w:sz w:val="22"/>
          <w:szCs w:val="18"/>
        </w:rPr>
      </w:pPr>
    </w:p>
    <w:p w14:paraId="50892622" w14:textId="18C45793" w:rsidR="00DF4841" w:rsidRPr="000530B1" w:rsidRDefault="00DF4841" w:rsidP="000530B1">
      <w:pPr>
        <w:pStyle w:val="Heading3"/>
        <w:rPr>
          <w:color w:val="1F497D" w:themeColor="text2"/>
          <w:sz w:val="28"/>
          <w:szCs w:val="22"/>
        </w:rPr>
      </w:pPr>
      <w:bookmarkStart w:id="18" w:name="_Toc239682122"/>
      <w:r w:rsidRPr="000530B1">
        <w:rPr>
          <w:color w:val="1F497D" w:themeColor="text2"/>
          <w:sz w:val="28"/>
          <w:szCs w:val="22"/>
        </w:rPr>
        <w:t>Flow, Occupancy and Safe Discharge</w:t>
      </w:r>
      <w:bookmarkEnd w:id="18"/>
    </w:p>
    <w:p w14:paraId="3888CE81" w14:textId="77777777" w:rsidR="00DF4841" w:rsidRPr="00DF4841" w:rsidRDefault="00DF4841" w:rsidP="00DF4841">
      <w:pPr>
        <w:jc w:val="both"/>
        <w:rPr>
          <w:rFonts w:ascii="Arial" w:hAnsi="Arial" w:cs="Arial"/>
          <w:sz w:val="22"/>
          <w:szCs w:val="18"/>
        </w:rPr>
      </w:pPr>
    </w:p>
    <w:p w14:paraId="7366F0C5" w14:textId="77777777" w:rsidR="00DF4841" w:rsidRPr="00DF4841" w:rsidRDefault="0485C237" w:rsidP="00DF4841">
      <w:pPr>
        <w:jc w:val="both"/>
      </w:pPr>
      <w:r w:rsidRPr="768AC530">
        <w:rPr>
          <w:rFonts w:ascii="Arial" w:hAnsi="Arial" w:cs="Arial"/>
          <w:sz w:val="22"/>
          <w:szCs w:val="22"/>
        </w:rPr>
        <w:t>(BAS Domain 2)</w:t>
      </w:r>
    </w:p>
    <w:p w14:paraId="6589EC4A" w14:textId="266CFA6A" w:rsidR="768AC530" w:rsidRDefault="768AC530" w:rsidP="768AC530">
      <w:pPr>
        <w:jc w:val="both"/>
        <w:rPr>
          <w:rFonts w:ascii="Arial" w:hAnsi="Arial" w:cs="Arial"/>
          <w:sz w:val="22"/>
          <w:szCs w:val="22"/>
        </w:rPr>
      </w:pPr>
    </w:p>
    <w:p w14:paraId="1BC5549B" w14:textId="75AC0167" w:rsidR="21F432E8" w:rsidRDefault="21F432E8" w:rsidP="0E4022BA">
      <w:pPr>
        <w:jc w:val="both"/>
      </w:pPr>
      <w:r w:rsidRPr="0E4022BA">
        <w:rPr>
          <w:rFonts w:ascii="Arial" w:hAnsi="Arial" w:cs="Arial"/>
          <w:sz w:val="22"/>
          <w:szCs w:val="22"/>
        </w:rPr>
        <w:t>The system’s priority ahead of and throughout winter 2026/27 is to reduce acute bed occupancy and delayed discharge through a coordinated programme of operational, clinical and commissioning actions. This includes mobilisation of the new Home First and Community Reablement models, optimisation of existing intermediate care capacity, redesign of Pathway 2 provision and continued development of the Care Transfer Hub. Together, these actions are intended to increase the number of people supported to return home, improve utilisation and flow through intermediate care, and reduce avoidable delays across acute and community pathways.</w:t>
      </w:r>
    </w:p>
    <w:p w14:paraId="21D83ACA" w14:textId="096CD9CD" w:rsidR="21F432E8" w:rsidRDefault="21F432E8" w:rsidP="0E4022BA">
      <w:pPr>
        <w:jc w:val="both"/>
      </w:pPr>
      <w:r w:rsidRPr="0E4022BA">
        <w:rPr>
          <w:rFonts w:ascii="Arial" w:hAnsi="Arial" w:cs="Arial"/>
          <w:sz w:val="22"/>
          <w:szCs w:val="22"/>
        </w:rPr>
        <w:t xml:space="preserve"> </w:t>
      </w:r>
    </w:p>
    <w:p w14:paraId="519C7361" w14:textId="366A7BD8" w:rsidR="21F432E8" w:rsidRDefault="21F432E8" w:rsidP="0E4022BA">
      <w:pPr>
        <w:jc w:val="both"/>
      </w:pPr>
      <w:r w:rsidRPr="0E4022BA">
        <w:rPr>
          <w:rFonts w:ascii="Arial" w:hAnsi="Arial" w:cs="Arial"/>
          <w:sz w:val="22"/>
          <w:szCs w:val="22"/>
        </w:rPr>
        <w:t>In autumn 2026/27, Gloucestershire commenced mobilisation of its newly commissioned Pathway 1 Home First service, delivered by Gloucestershire Health and Care NHS Foundation Trust (GHC), alongside the new Community Reablement Service delivered by Gloucestershire County Council (GCC).</w:t>
      </w:r>
    </w:p>
    <w:p w14:paraId="3F69A3CD" w14:textId="34C69C3A" w:rsidR="21F432E8" w:rsidRDefault="21F432E8" w:rsidP="0E4022BA">
      <w:pPr>
        <w:jc w:val="both"/>
      </w:pPr>
      <w:r w:rsidRPr="0E4022BA">
        <w:rPr>
          <w:rFonts w:ascii="Arial" w:hAnsi="Arial" w:cs="Arial"/>
          <w:sz w:val="22"/>
          <w:szCs w:val="22"/>
        </w:rPr>
        <w:t xml:space="preserve"> </w:t>
      </w:r>
    </w:p>
    <w:p w14:paraId="4AAC173A" w14:textId="2C8BD09D" w:rsidR="21F432E8" w:rsidRDefault="21F432E8" w:rsidP="0E4022BA">
      <w:pPr>
        <w:jc w:val="both"/>
      </w:pPr>
      <w:r w:rsidRPr="0E4022BA">
        <w:rPr>
          <w:rFonts w:ascii="Arial" w:hAnsi="Arial" w:cs="Arial"/>
          <w:sz w:val="22"/>
          <w:szCs w:val="22"/>
        </w:rPr>
        <w:t>The new Home First service, led by Gloucestershire Health &amp; Care (GHC), is a major redesign of how the system supports people to return home safely, quickly, and with the right level of short</w:t>
      </w:r>
      <w:r>
        <w:noBreakHyphen/>
      </w:r>
      <w:r w:rsidRPr="0E4022BA">
        <w:rPr>
          <w:rFonts w:ascii="Arial" w:hAnsi="Arial" w:cs="Arial"/>
          <w:sz w:val="22"/>
          <w:szCs w:val="22"/>
        </w:rPr>
        <w:t>term support after a hospital stay. It consolidates multiple discharge and community functions into a single, clinically led, home</w:t>
      </w:r>
      <w:r>
        <w:noBreakHyphen/>
      </w:r>
      <w:r w:rsidRPr="0E4022BA">
        <w:rPr>
          <w:rFonts w:ascii="Arial" w:hAnsi="Arial" w:cs="Arial"/>
          <w:sz w:val="22"/>
          <w:szCs w:val="22"/>
        </w:rPr>
        <w:t>based service that strengthens flow, improves independence, and reduces avoidable long</w:t>
      </w:r>
      <w:r>
        <w:noBreakHyphen/>
      </w:r>
      <w:r w:rsidRPr="0E4022BA">
        <w:rPr>
          <w:rFonts w:ascii="Arial" w:hAnsi="Arial" w:cs="Arial"/>
          <w:sz w:val="22"/>
          <w:szCs w:val="22"/>
        </w:rPr>
        <w:t>term care. The model supports discharge from GHFT, out-of-county hospitals and community beds, with approximately 85% of referrals expected to originate from acute hospitals.</w:t>
      </w:r>
    </w:p>
    <w:p w14:paraId="005ACDF1" w14:textId="1165609D" w:rsidR="00C87D9B" w:rsidRPr="00C87D9B" w:rsidRDefault="00C87D9B" w:rsidP="768AC530">
      <w:pPr>
        <w:jc w:val="both"/>
        <w:rPr>
          <w:rFonts w:ascii="Arial" w:hAnsi="Arial" w:cs="Arial"/>
          <w:sz w:val="22"/>
          <w:szCs w:val="22"/>
        </w:rPr>
      </w:pPr>
    </w:p>
    <w:p w14:paraId="6CE10B92" w14:textId="1B1DF1B7" w:rsidR="00C87D9B" w:rsidRPr="003C5416" w:rsidRDefault="237F0058" w:rsidP="004E44F6">
      <w:pPr>
        <w:jc w:val="both"/>
        <w:rPr>
          <w:rFonts w:ascii="Arial" w:hAnsi="Arial" w:cs="Arial"/>
          <w:b/>
          <w:bCs/>
          <w:color w:val="1F497D" w:themeColor="text2"/>
          <w:sz w:val="22"/>
          <w:szCs w:val="22"/>
        </w:rPr>
      </w:pPr>
      <w:r w:rsidRPr="003C5416">
        <w:rPr>
          <w:rFonts w:ascii="Arial" w:hAnsi="Arial" w:cs="Arial"/>
          <w:b/>
          <w:bCs/>
          <w:color w:val="1F497D" w:themeColor="text2"/>
          <w:sz w:val="22"/>
          <w:szCs w:val="22"/>
        </w:rPr>
        <w:t>Core Ambitions</w:t>
      </w:r>
      <w:r w:rsidR="004E44F6" w:rsidRPr="003C5416">
        <w:rPr>
          <w:rFonts w:ascii="Arial" w:hAnsi="Arial" w:cs="Arial"/>
          <w:b/>
          <w:bCs/>
          <w:color w:val="1F497D" w:themeColor="text2"/>
          <w:sz w:val="22"/>
          <w:szCs w:val="22"/>
        </w:rPr>
        <w:t xml:space="preserve">: </w:t>
      </w:r>
    </w:p>
    <w:p w14:paraId="217208D1" w14:textId="77777777" w:rsidR="004E44F6" w:rsidRPr="00C87D9B" w:rsidRDefault="004E44F6" w:rsidP="004E44F6">
      <w:pPr>
        <w:jc w:val="both"/>
        <w:rPr>
          <w:rFonts w:ascii="Arial" w:hAnsi="Arial" w:cs="Arial"/>
          <w:sz w:val="22"/>
          <w:szCs w:val="22"/>
        </w:rPr>
      </w:pPr>
    </w:p>
    <w:p w14:paraId="30417D11" w14:textId="0B8EFBE1" w:rsidR="00C87D9B" w:rsidRPr="00C87D9B" w:rsidRDefault="237F0058" w:rsidP="768AC530">
      <w:pPr>
        <w:numPr>
          <w:ilvl w:val="0"/>
          <w:numId w:val="5"/>
        </w:numPr>
        <w:jc w:val="both"/>
        <w:rPr>
          <w:rFonts w:ascii="Arial" w:hAnsi="Arial" w:cs="Arial"/>
          <w:sz w:val="22"/>
          <w:szCs w:val="22"/>
        </w:rPr>
      </w:pPr>
      <w:r w:rsidRPr="768AC530">
        <w:rPr>
          <w:rFonts w:ascii="Arial" w:hAnsi="Arial" w:cs="Arial"/>
          <w:sz w:val="22"/>
          <w:szCs w:val="22"/>
        </w:rPr>
        <w:t>A single, unified Pathway 1 service</w:t>
      </w:r>
      <w:r w:rsidR="24FA9985" w:rsidRPr="768AC530">
        <w:rPr>
          <w:rFonts w:ascii="Arial" w:hAnsi="Arial" w:cs="Arial"/>
          <w:sz w:val="22"/>
          <w:szCs w:val="22"/>
        </w:rPr>
        <w:t>;</w:t>
      </w:r>
      <w:r w:rsidRPr="768AC530">
        <w:rPr>
          <w:rFonts w:ascii="Arial" w:hAnsi="Arial" w:cs="Arial"/>
          <w:sz w:val="22"/>
          <w:szCs w:val="22"/>
        </w:rPr>
        <w:t xml:space="preserve"> One coordinated model delivered through shared leadership, common processes, and a single front door for referrals. This removes variation, reduces duplication, and ensures equitable access across the county.</w:t>
      </w:r>
    </w:p>
    <w:p w14:paraId="3BE07E70" w14:textId="61912F86" w:rsidR="00C87D9B" w:rsidRPr="00C87D9B" w:rsidRDefault="237F0058" w:rsidP="768AC530">
      <w:pPr>
        <w:numPr>
          <w:ilvl w:val="0"/>
          <w:numId w:val="5"/>
        </w:numPr>
        <w:jc w:val="both"/>
        <w:rPr>
          <w:rFonts w:ascii="Arial" w:hAnsi="Arial" w:cs="Arial"/>
          <w:sz w:val="22"/>
          <w:szCs w:val="22"/>
        </w:rPr>
      </w:pPr>
      <w:r w:rsidRPr="768AC530">
        <w:rPr>
          <w:rFonts w:ascii="Arial" w:hAnsi="Arial" w:cs="Arial"/>
          <w:sz w:val="22"/>
          <w:szCs w:val="22"/>
        </w:rPr>
        <w:t>Trusted assessment at the heart of the model A standardised, multidisciplinary approach to assessing needs in hospital and at home, enabling quicker decisions, fewer handoffs, and improved patient experience.</w:t>
      </w:r>
    </w:p>
    <w:p w14:paraId="70D91CC6" w14:textId="64F24288" w:rsidR="00C87D9B" w:rsidRPr="00C87D9B" w:rsidRDefault="237F0058" w:rsidP="768AC530">
      <w:pPr>
        <w:numPr>
          <w:ilvl w:val="0"/>
          <w:numId w:val="5"/>
        </w:numPr>
        <w:jc w:val="both"/>
        <w:rPr>
          <w:rFonts w:ascii="Arial" w:hAnsi="Arial" w:cs="Arial"/>
          <w:sz w:val="22"/>
          <w:szCs w:val="22"/>
        </w:rPr>
      </w:pPr>
      <w:r w:rsidRPr="768AC530">
        <w:rPr>
          <w:rFonts w:ascii="Arial" w:hAnsi="Arial" w:cs="Arial"/>
          <w:sz w:val="22"/>
          <w:szCs w:val="22"/>
        </w:rPr>
        <w:t>Rapid, same</w:t>
      </w:r>
      <w:r w:rsidR="00C87D9B">
        <w:noBreakHyphen/>
      </w:r>
      <w:r w:rsidRPr="768AC530">
        <w:rPr>
          <w:rFonts w:ascii="Arial" w:hAnsi="Arial" w:cs="Arial"/>
          <w:sz w:val="22"/>
          <w:szCs w:val="22"/>
        </w:rPr>
        <w:t>day response to support discharge</w:t>
      </w:r>
      <w:r w:rsidR="70D71224" w:rsidRPr="768AC530">
        <w:rPr>
          <w:rFonts w:ascii="Arial" w:hAnsi="Arial" w:cs="Arial"/>
          <w:sz w:val="22"/>
          <w:szCs w:val="22"/>
        </w:rPr>
        <w:t>;</w:t>
      </w:r>
      <w:r w:rsidRPr="768AC530">
        <w:rPr>
          <w:rFonts w:ascii="Arial" w:hAnsi="Arial" w:cs="Arial"/>
          <w:sz w:val="22"/>
          <w:szCs w:val="22"/>
        </w:rPr>
        <w:t xml:space="preserve"> </w:t>
      </w:r>
      <w:r w:rsidR="74DF18DA" w:rsidRPr="768AC530">
        <w:rPr>
          <w:rFonts w:ascii="Arial" w:hAnsi="Arial" w:cs="Arial"/>
          <w:sz w:val="22"/>
          <w:szCs w:val="22"/>
        </w:rPr>
        <w:t>t</w:t>
      </w:r>
      <w:r w:rsidRPr="768AC530">
        <w:rPr>
          <w:rFonts w:ascii="Arial" w:hAnsi="Arial" w:cs="Arial"/>
          <w:sz w:val="22"/>
          <w:szCs w:val="22"/>
        </w:rPr>
        <w:t>he model aims for &lt;24</w:t>
      </w:r>
      <w:r w:rsidR="00C87D9B">
        <w:noBreakHyphen/>
      </w:r>
      <w:r w:rsidRPr="768AC530">
        <w:rPr>
          <w:rFonts w:ascii="Arial" w:hAnsi="Arial" w:cs="Arial"/>
          <w:sz w:val="22"/>
          <w:szCs w:val="22"/>
        </w:rPr>
        <w:t>hour decision</w:t>
      </w:r>
      <w:r w:rsidR="00C87D9B">
        <w:noBreakHyphen/>
      </w:r>
      <w:r w:rsidRPr="768AC530">
        <w:rPr>
          <w:rFonts w:ascii="Arial" w:hAnsi="Arial" w:cs="Arial"/>
          <w:sz w:val="22"/>
          <w:szCs w:val="22"/>
        </w:rPr>
        <w:t>making and timely commencement of care at home, reducing unnecessary hospital days and improving flow.</w:t>
      </w:r>
    </w:p>
    <w:p w14:paraId="4284F5D0" w14:textId="70B2802F" w:rsidR="00C87D9B" w:rsidRPr="00C87D9B" w:rsidRDefault="00C87D9B" w:rsidP="768AC530">
      <w:pPr>
        <w:jc w:val="both"/>
        <w:rPr>
          <w:rFonts w:ascii="Arial" w:hAnsi="Arial" w:cs="Arial"/>
          <w:sz w:val="22"/>
          <w:szCs w:val="22"/>
        </w:rPr>
      </w:pPr>
    </w:p>
    <w:p w14:paraId="15B80ABE" w14:textId="684AECDE" w:rsidR="00C87D9B" w:rsidRPr="00C87D9B" w:rsidRDefault="3D9F5470" w:rsidP="00C87D9B">
      <w:pPr>
        <w:jc w:val="both"/>
      </w:pPr>
      <w:r w:rsidRPr="768AC530">
        <w:rPr>
          <w:rFonts w:ascii="Arial" w:hAnsi="Arial" w:cs="Arial"/>
          <w:sz w:val="22"/>
          <w:szCs w:val="22"/>
        </w:rPr>
        <w:t>The new Community Reablement Service, led by Gloucestershire County Council (GCC), is a cornerstone of the county’s shift toward a home</w:t>
      </w:r>
      <w:r w:rsidR="00C87D9B">
        <w:noBreakHyphen/>
      </w:r>
      <w:r w:rsidRPr="768AC530">
        <w:rPr>
          <w:rFonts w:ascii="Arial" w:hAnsi="Arial" w:cs="Arial"/>
          <w:sz w:val="22"/>
          <w:szCs w:val="22"/>
        </w:rPr>
        <w:t>first, independence</w:t>
      </w:r>
      <w:r w:rsidR="00C87D9B">
        <w:noBreakHyphen/>
      </w:r>
      <w:r w:rsidRPr="768AC530">
        <w:rPr>
          <w:rFonts w:ascii="Arial" w:hAnsi="Arial" w:cs="Arial"/>
          <w:sz w:val="22"/>
          <w:szCs w:val="22"/>
        </w:rPr>
        <w:t xml:space="preserve">focused model of care. It </w:t>
      </w:r>
      <w:r w:rsidR="7E18C09B" w:rsidRPr="768AC530">
        <w:rPr>
          <w:rFonts w:ascii="Arial" w:hAnsi="Arial" w:cs="Arial"/>
          <w:sz w:val="22"/>
          <w:szCs w:val="22"/>
        </w:rPr>
        <w:t>will deliver a</w:t>
      </w:r>
      <w:r w:rsidRPr="768AC530">
        <w:rPr>
          <w:rFonts w:ascii="Arial" w:hAnsi="Arial" w:cs="Arial"/>
          <w:sz w:val="22"/>
          <w:szCs w:val="22"/>
        </w:rPr>
        <w:t xml:space="preserve"> single, strengthened, outcomes</w:t>
      </w:r>
      <w:r w:rsidR="00C87D9B">
        <w:noBreakHyphen/>
      </w:r>
      <w:r w:rsidRPr="768AC530">
        <w:rPr>
          <w:rFonts w:ascii="Arial" w:hAnsi="Arial" w:cs="Arial"/>
          <w:sz w:val="22"/>
          <w:szCs w:val="22"/>
        </w:rPr>
        <w:t xml:space="preserve">driven service designed to reduce reliance on </w:t>
      </w:r>
      <w:r w:rsidRPr="768AC530">
        <w:rPr>
          <w:rFonts w:ascii="Arial" w:hAnsi="Arial" w:cs="Arial"/>
          <w:sz w:val="22"/>
          <w:szCs w:val="22"/>
        </w:rPr>
        <w:lastRenderedPageBreak/>
        <w:t>long</w:t>
      </w:r>
      <w:r w:rsidR="00C87D9B">
        <w:noBreakHyphen/>
      </w:r>
      <w:r w:rsidRPr="768AC530">
        <w:rPr>
          <w:rFonts w:ascii="Arial" w:hAnsi="Arial" w:cs="Arial"/>
          <w:sz w:val="22"/>
          <w:szCs w:val="22"/>
        </w:rPr>
        <w:t>term care, improve patient experience, and support system flow.</w:t>
      </w:r>
    </w:p>
    <w:p w14:paraId="1FE8218F" w14:textId="176C76AA" w:rsidR="00C87D9B" w:rsidRPr="00C87D9B" w:rsidRDefault="00C87D9B" w:rsidP="768AC530">
      <w:pPr>
        <w:jc w:val="both"/>
        <w:rPr>
          <w:rFonts w:ascii="Arial" w:hAnsi="Arial" w:cs="Arial"/>
          <w:sz w:val="22"/>
          <w:szCs w:val="22"/>
        </w:rPr>
      </w:pPr>
    </w:p>
    <w:p w14:paraId="55B29253" w14:textId="6FBAFDE5" w:rsidR="00C87D9B" w:rsidRPr="003C5416" w:rsidRDefault="3D9F5470" w:rsidP="768AC530">
      <w:pPr>
        <w:jc w:val="both"/>
        <w:rPr>
          <w:rFonts w:ascii="Arial" w:hAnsi="Arial" w:cs="Arial"/>
          <w:b/>
          <w:bCs/>
          <w:color w:val="1F497D" w:themeColor="text2"/>
          <w:sz w:val="22"/>
          <w:szCs w:val="22"/>
        </w:rPr>
      </w:pPr>
      <w:r w:rsidRPr="003C5416">
        <w:rPr>
          <w:rFonts w:ascii="Arial" w:hAnsi="Arial" w:cs="Arial"/>
          <w:b/>
          <w:bCs/>
          <w:color w:val="1F497D" w:themeColor="text2"/>
          <w:sz w:val="22"/>
          <w:szCs w:val="22"/>
        </w:rPr>
        <w:t>Core Ambitions</w:t>
      </w:r>
      <w:r w:rsidR="004E44F6" w:rsidRPr="003C5416">
        <w:rPr>
          <w:rFonts w:ascii="Arial" w:hAnsi="Arial" w:cs="Arial"/>
          <w:b/>
          <w:bCs/>
          <w:color w:val="1F497D" w:themeColor="text2"/>
          <w:sz w:val="22"/>
          <w:szCs w:val="22"/>
        </w:rPr>
        <w:t xml:space="preserve">: </w:t>
      </w:r>
    </w:p>
    <w:p w14:paraId="0873A2E5" w14:textId="77777777" w:rsidR="004E44F6" w:rsidRPr="00C87D9B" w:rsidRDefault="004E44F6" w:rsidP="768AC530">
      <w:pPr>
        <w:jc w:val="both"/>
        <w:rPr>
          <w:rFonts w:ascii="Arial" w:hAnsi="Arial" w:cs="Arial"/>
          <w:sz w:val="22"/>
          <w:szCs w:val="22"/>
        </w:rPr>
      </w:pPr>
    </w:p>
    <w:p w14:paraId="1929E58F" w14:textId="523A231A" w:rsidR="00C87D9B" w:rsidRPr="00C87D9B" w:rsidRDefault="3D9F5470" w:rsidP="768AC530">
      <w:pPr>
        <w:numPr>
          <w:ilvl w:val="0"/>
          <w:numId w:val="4"/>
        </w:numPr>
        <w:jc w:val="both"/>
        <w:rPr>
          <w:rFonts w:ascii="Arial" w:hAnsi="Arial" w:cs="Arial"/>
          <w:sz w:val="22"/>
          <w:szCs w:val="22"/>
        </w:rPr>
      </w:pPr>
      <w:r w:rsidRPr="768AC530">
        <w:rPr>
          <w:rFonts w:ascii="Arial" w:hAnsi="Arial" w:cs="Arial"/>
          <w:sz w:val="22"/>
          <w:szCs w:val="22"/>
        </w:rPr>
        <w:t>A single, countywide reablement offer with consistent standards GCC will lead a unified service with one operating model, one workforce, and one set of quality expectations—ensuring equitable access and reducing variation across districts.</w:t>
      </w:r>
    </w:p>
    <w:p w14:paraId="027BFE50" w14:textId="17FCEE98" w:rsidR="00C87D9B" w:rsidRPr="00C87D9B" w:rsidRDefault="3D9F5470" w:rsidP="768AC530">
      <w:pPr>
        <w:numPr>
          <w:ilvl w:val="0"/>
          <w:numId w:val="4"/>
        </w:numPr>
        <w:jc w:val="both"/>
        <w:rPr>
          <w:rFonts w:ascii="Arial" w:hAnsi="Arial" w:cs="Arial"/>
          <w:sz w:val="22"/>
          <w:szCs w:val="22"/>
        </w:rPr>
      </w:pPr>
      <w:r w:rsidRPr="768AC530">
        <w:rPr>
          <w:rFonts w:ascii="Arial" w:hAnsi="Arial" w:cs="Arial"/>
          <w:sz w:val="22"/>
          <w:szCs w:val="22"/>
        </w:rPr>
        <w:t>Independence as the primary outcome</w:t>
      </w:r>
      <w:r w:rsidR="26FB2ABA" w:rsidRPr="768AC530">
        <w:rPr>
          <w:rFonts w:ascii="Arial" w:hAnsi="Arial" w:cs="Arial"/>
          <w:sz w:val="22"/>
          <w:szCs w:val="22"/>
        </w:rPr>
        <w:t>;</w:t>
      </w:r>
      <w:r w:rsidRPr="768AC530">
        <w:rPr>
          <w:rFonts w:ascii="Arial" w:hAnsi="Arial" w:cs="Arial"/>
          <w:sz w:val="22"/>
          <w:szCs w:val="22"/>
        </w:rPr>
        <w:t xml:space="preserve"> </w:t>
      </w:r>
      <w:r w:rsidR="7186537D" w:rsidRPr="768AC530">
        <w:rPr>
          <w:rFonts w:ascii="Arial" w:hAnsi="Arial" w:cs="Arial"/>
          <w:sz w:val="22"/>
          <w:szCs w:val="22"/>
        </w:rPr>
        <w:t>t</w:t>
      </w:r>
      <w:r w:rsidRPr="768AC530">
        <w:rPr>
          <w:rFonts w:ascii="Arial" w:hAnsi="Arial" w:cs="Arial"/>
          <w:sz w:val="22"/>
          <w:szCs w:val="22"/>
        </w:rPr>
        <w:t>he service is designed to maximise recovery and independence, reducing long</w:t>
      </w:r>
      <w:r w:rsidR="00C87D9B">
        <w:noBreakHyphen/>
      </w:r>
      <w:r w:rsidRPr="768AC530">
        <w:rPr>
          <w:rFonts w:ascii="Arial" w:hAnsi="Arial" w:cs="Arial"/>
          <w:sz w:val="22"/>
          <w:szCs w:val="22"/>
        </w:rPr>
        <w:t>term care packages and supporting people to remain safely at home.</w:t>
      </w:r>
    </w:p>
    <w:p w14:paraId="5B66113A" w14:textId="1E4FEA4F" w:rsidR="00C87D9B" w:rsidRPr="00C87D9B" w:rsidRDefault="3D9F5470" w:rsidP="768AC530">
      <w:pPr>
        <w:numPr>
          <w:ilvl w:val="0"/>
          <w:numId w:val="4"/>
        </w:numPr>
        <w:jc w:val="both"/>
        <w:rPr>
          <w:rFonts w:ascii="Arial" w:hAnsi="Arial" w:cs="Arial"/>
          <w:sz w:val="22"/>
          <w:szCs w:val="22"/>
        </w:rPr>
      </w:pPr>
      <w:r w:rsidRPr="768AC530">
        <w:rPr>
          <w:rFonts w:ascii="Arial" w:hAnsi="Arial" w:cs="Arial"/>
          <w:sz w:val="22"/>
          <w:szCs w:val="22"/>
        </w:rPr>
        <w:t>Stronger integration with health partners and Pathway 1 The reablement service becomes a core component of the wider discharge and</w:t>
      </w:r>
      <w:r w:rsidR="6E9EABC9" w:rsidRPr="768AC530">
        <w:rPr>
          <w:rFonts w:ascii="Arial" w:hAnsi="Arial" w:cs="Arial"/>
          <w:sz w:val="22"/>
          <w:szCs w:val="22"/>
        </w:rPr>
        <w:t xml:space="preserve"> intermediate care system, enabling smoother transitions from hospital and reducing delayed discharge days.</w:t>
      </w:r>
    </w:p>
    <w:p w14:paraId="70513E32" w14:textId="2EBE9883" w:rsidR="00C87D9B" w:rsidRPr="00C87D9B" w:rsidRDefault="6E9EABC9" w:rsidP="768AC530">
      <w:pPr>
        <w:pStyle w:val="ListParagraph"/>
        <w:numPr>
          <w:ilvl w:val="0"/>
          <w:numId w:val="4"/>
        </w:numPr>
        <w:jc w:val="both"/>
        <w:rPr>
          <w:rFonts w:ascii="Arial" w:hAnsi="Arial" w:cs="Arial"/>
          <w:sz w:val="22"/>
          <w:szCs w:val="22"/>
        </w:rPr>
      </w:pPr>
      <w:r w:rsidRPr="768AC530">
        <w:rPr>
          <w:rFonts w:ascii="Arial" w:hAnsi="Arial" w:cs="Arial"/>
          <w:sz w:val="22"/>
          <w:szCs w:val="22"/>
        </w:rPr>
        <w:t>Rapid, responsive support at home</w:t>
      </w:r>
      <w:r w:rsidR="23002966" w:rsidRPr="768AC530">
        <w:rPr>
          <w:rFonts w:ascii="Arial" w:hAnsi="Arial" w:cs="Arial"/>
          <w:sz w:val="22"/>
          <w:szCs w:val="22"/>
        </w:rPr>
        <w:t>; the</w:t>
      </w:r>
      <w:r w:rsidRPr="768AC530">
        <w:rPr>
          <w:rFonts w:ascii="Arial" w:hAnsi="Arial" w:cs="Arial"/>
          <w:sz w:val="22"/>
          <w:szCs w:val="22"/>
        </w:rPr>
        <w:t xml:space="preserve"> model aims for timely commencement of reablement—typically within 24–48 hours—helping people leave hospital sooner and preventing avoidable readmissions.</w:t>
      </w:r>
    </w:p>
    <w:p w14:paraId="594F37FD" w14:textId="17A7F25B" w:rsidR="00C87D9B" w:rsidRPr="00C87D9B" w:rsidRDefault="6E9EABC9" w:rsidP="768AC530">
      <w:pPr>
        <w:pStyle w:val="ListParagraph"/>
        <w:numPr>
          <w:ilvl w:val="0"/>
          <w:numId w:val="4"/>
        </w:numPr>
        <w:jc w:val="both"/>
        <w:rPr>
          <w:rFonts w:ascii="Arial" w:hAnsi="Arial" w:cs="Arial"/>
          <w:sz w:val="22"/>
          <w:szCs w:val="22"/>
        </w:rPr>
      </w:pPr>
      <w:r w:rsidRPr="768AC530">
        <w:rPr>
          <w:rFonts w:ascii="Arial" w:hAnsi="Arial" w:cs="Arial"/>
          <w:sz w:val="22"/>
          <w:szCs w:val="22"/>
        </w:rPr>
        <w:t>A skilled, multidisciplinary workforce Investment in training, recruitment, and professional development will create a stable, capable workforce able to deliver high</w:t>
      </w:r>
      <w:r w:rsidR="00C87D9B">
        <w:noBreakHyphen/>
      </w:r>
      <w:r w:rsidRPr="768AC530">
        <w:rPr>
          <w:rFonts w:ascii="Arial" w:hAnsi="Arial" w:cs="Arial"/>
          <w:sz w:val="22"/>
          <w:szCs w:val="22"/>
        </w:rPr>
        <w:t>quality reablement and trusted assessments.</w:t>
      </w:r>
    </w:p>
    <w:p w14:paraId="57B6720C" w14:textId="1BCFEB71" w:rsidR="00C87D9B" w:rsidRPr="00C87D9B" w:rsidRDefault="00C87D9B" w:rsidP="768AC530">
      <w:pPr>
        <w:jc w:val="both"/>
        <w:rPr>
          <w:rFonts w:ascii="Arial" w:hAnsi="Arial" w:cs="Arial"/>
          <w:sz w:val="22"/>
          <w:szCs w:val="22"/>
        </w:rPr>
      </w:pPr>
    </w:p>
    <w:p w14:paraId="52AA854D" w14:textId="75E79BE9" w:rsidR="78B45D41" w:rsidRDefault="78B45D41" w:rsidP="0E4022BA">
      <w:pPr>
        <w:jc w:val="both"/>
      </w:pPr>
      <w:r w:rsidRPr="0E4022BA">
        <w:rPr>
          <w:rFonts w:ascii="Arial" w:hAnsi="Arial" w:cs="Arial"/>
          <w:sz w:val="22"/>
          <w:szCs w:val="22"/>
        </w:rPr>
        <w:t xml:space="preserve">Alongside Pathway 1 redesign, the system will continue to optimise existing bed-based intermediate care capacity. GHC currently operates Community Hospital Pathway 2 beds, including rehabilitation, complex, stroke and CATU capacity, with additional P2/P3 beds commissioned by GCC on behalf of the system. A temporary test of change to the Community Hospital bed model is underway and is expected to continue until at least April 2027, subject to system governance review.  </w:t>
      </w:r>
    </w:p>
    <w:p w14:paraId="7C8DB45C" w14:textId="5CA96707" w:rsidR="78B45D41" w:rsidRDefault="78B45D41" w:rsidP="0E4022BA">
      <w:pPr>
        <w:jc w:val="both"/>
      </w:pPr>
      <w:r w:rsidRPr="0E4022BA">
        <w:rPr>
          <w:rFonts w:ascii="Arial" w:hAnsi="Arial" w:cs="Arial"/>
          <w:sz w:val="22"/>
          <w:szCs w:val="22"/>
        </w:rPr>
        <w:t xml:space="preserve"> </w:t>
      </w:r>
    </w:p>
    <w:p w14:paraId="2121B7EA" w14:textId="07F7423E" w:rsidR="78B45D41" w:rsidRDefault="78B45D41" w:rsidP="0E4022BA">
      <w:pPr>
        <w:jc w:val="both"/>
      </w:pPr>
      <w:r w:rsidRPr="0E4022BA">
        <w:rPr>
          <w:rFonts w:ascii="Arial" w:hAnsi="Arial" w:cs="Arial"/>
          <w:sz w:val="22"/>
          <w:szCs w:val="22"/>
        </w:rPr>
        <w:t>Improving flow through this capacity is a key winter priority. A Community Hospitals DRD Task and Finish Group has been established with system partners, alongside arrangements to monitor delays and escalate long waits. September performance indicates significant opportunity to release additional effective capacity through reducing discharge delays and length of stay, supporting increased admissions into intermediate care and improved flow from the acute sector.</w:t>
      </w:r>
    </w:p>
    <w:p w14:paraId="10D73CE5" w14:textId="7EED14E5" w:rsidR="0E4022BA" w:rsidRDefault="0E4022BA" w:rsidP="0E4022BA">
      <w:pPr>
        <w:jc w:val="both"/>
        <w:rPr>
          <w:rFonts w:ascii="Arial" w:hAnsi="Arial" w:cs="Arial"/>
          <w:sz w:val="22"/>
          <w:szCs w:val="22"/>
        </w:rPr>
      </w:pPr>
    </w:p>
    <w:p w14:paraId="313CF64D" w14:textId="07528BF3" w:rsidR="00C87D9B" w:rsidRPr="00C87D9B" w:rsidRDefault="1B373BAA" w:rsidP="768AC530">
      <w:pPr>
        <w:jc w:val="both"/>
      </w:pPr>
      <w:r w:rsidRPr="768AC530">
        <w:rPr>
          <w:rFonts w:ascii="Arial" w:hAnsi="Arial" w:cs="Arial"/>
          <w:sz w:val="22"/>
          <w:szCs w:val="22"/>
        </w:rPr>
        <w:t xml:space="preserve">The new </w:t>
      </w:r>
      <w:r w:rsidR="238D4782" w:rsidRPr="768AC530">
        <w:rPr>
          <w:rFonts w:ascii="Arial" w:hAnsi="Arial" w:cs="Arial"/>
          <w:sz w:val="22"/>
          <w:szCs w:val="22"/>
        </w:rPr>
        <w:t>independent</w:t>
      </w:r>
      <w:r w:rsidRPr="768AC530">
        <w:rPr>
          <w:rFonts w:ascii="Arial" w:hAnsi="Arial" w:cs="Arial"/>
          <w:sz w:val="22"/>
          <w:szCs w:val="22"/>
        </w:rPr>
        <w:t xml:space="preserve"> sector </w:t>
      </w:r>
      <w:r w:rsidR="5E2AA884" w:rsidRPr="768AC530">
        <w:rPr>
          <w:rFonts w:ascii="Arial" w:hAnsi="Arial" w:cs="Arial"/>
          <w:sz w:val="22"/>
          <w:szCs w:val="22"/>
        </w:rPr>
        <w:t>p</w:t>
      </w:r>
      <w:r w:rsidRPr="768AC530">
        <w:rPr>
          <w:rFonts w:ascii="Arial" w:hAnsi="Arial" w:cs="Arial"/>
          <w:sz w:val="22"/>
          <w:szCs w:val="22"/>
        </w:rPr>
        <w:t>athway 2 commissioning model</w:t>
      </w:r>
      <w:r w:rsidR="737CC795" w:rsidRPr="768AC530">
        <w:rPr>
          <w:rFonts w:ascii="Arial" w:hAnsi="Arial" w:cs="Arial"/>
          <w:sz w:val="22"/>
          <w:szCs w:val="22"/>
        </w:rPr>
        <w:t>,</w:t>
      </w:r>
      <w:r w:rsidRPr="768AC530">
        <w:rPr>
          <w:rFonts w:ascii="Arial" w:hAnsi="Arial" w:cs="Arial"/>
          <w:sz w:val="22"/>
          <w:szCs w:val="22"/>
        </w:rPr>
        <w:t xml:space="preserve"> due to be finalised in November 2026 ahead of winter</w:t>
      </w:r>
      <w:r w:rsidR="7D108875" w:rsidRPr="768AC530">
        <w:rPr>
          <w:rFonts w:ascii="Arial" w:hAnsi="Arial" w:cs="Arial"/>
          <w:sz w:val="22"/>
          <w:szCs w:val="22"/>
        </w:rPr>
        <w:t>,</w:t>
      </w:r>
      <w:r w:rsidRPr="768AC530">
        <w:rPr>
          <w:rFonts w:ascii="Arial" w:hAnsi="Arial" w:cs="Arial"/>
          <w:sz w:val="22"/>
          <w:szCs w:val="22"/>
        </w:rPr>
        <w:t xml:space="preserve"> delivers a clearer, more accountable and outcomes</w:t>
      </w:r>
      <w:r w:rsidR="00C87D9B">
        <w:noBreakHyphen/>
      </w:r>
      <w:r w:rsidRPr="768AC530">
        <w:rPr>
          <w:rFonts w:ascii="Arial" w:hAnsi="Arial" w:cs="Arial"/>
          <w:sz w:val="22"/>
          <w:szCs w:val="22"/>
        </w:rPr>
        <w:t>driven approach to bed</w:t>
      </w:r>
      <w:r w:rsidR="00C87D9B">
        <w:noBreakHyphen/>
      </w:r>
      <w:r w:rsidRPr="768AC530">
        <w:rPr>
          <w:rFonts w:ascii="Arial" w:hAnsi="Arial" w:cs="Arial"/>
          <w:sz w:val="22"/>
          <w:szCs w:val="22"/>
        </w:rPr>
        <w:t>based rehabilitation. It establishes a single, consistent countywide offer, strengthens clinical governance, and improves patient flow from acute hospitals. By commissioning P2 as one unified service with shared standards, defined KPIs, and coordinated bed management, the model supports faster access to rehabilitation, better recovery outcomes, and reduced long</w:t>
      </w:r>
      <w:r w:rsidR="00C87D9B">
        <w:noBreakHyphen/>
      </w:r>
      <w:r w:rsidRPr="768AC530">
        <w:rPr>
          <w:rFonts w:ascii="Arial" w:hAnsi="Arial" w:cs="Arial"/>
          <w:sz w:val="22"/>
          <w:szCs w:val="22"/>
        </w:rPr>
        <w:t>term care demand. It aligns directly with commissioning intentions to create a coherent intermediate care system, improve independence, optimise resources, and ensure best value for Gloucestershire.</w:t>
      </w:r>
    </w:p>
    <w:p w14:paraId="0429E93C" w14:textId="4CC2B613" w:rsidR="00C87D9B" w:rsidRPr="00C87D9B" w:rsidRDefault="00C87D9B" w:rsidP="768AC530">
      <w:pPr>
        <w:jc w:val="both"/>
        <w:rPr>
          <w:rFonts w:ascii="Arial" w:hAnsi="Arial" w:cs="Arial"/>
          <w:sz w:val="22"/>
          <w:szCs w:val="22"/>
        </w:rPr>
      </w:pPr>
    </w:p>
    <w:p w14:paraId="3F1AF602" w14:textId="62EBB9A4" w:rsidR="00C87D9B" w:rsidRPr="00C87D9B" w:rsidRDefault="01BB9D49" w:rsidP="768AC530">
      <w:pPr>
        <w:jc w:val="both"/>
      </w:pPr>
      <w:r w:rsidRPr="768AC530">
        <w:rPr>
          <w:rFonts w:ascii="Arial" w:hAnsi="Arial" w:cs="Arial"/>
          <w:sz w:val="22"/>
          <w:szCs w:val="22"/>
        </w:rPr>
        <w:t>In addition to discharge pathway redesign</w:t>
      </w:r>
      <w:r w:rsidR="0FAE19C1" w:rsidRPr="768AC530">
        <w:rPr>
          <w:rFonts w:ascii="Arial" w:hAnsi="Arial" w:cs="Arial"/>
          <w:sz w:val="22"/>
          <w:szCs w:val="22"/>
        </w:rPr>
        <w:t xml:space="preserve">, the Care Transfer Hub (CTH) </w:t>
      </w:r>
      <w:r w:rsidR="637B834B" w:rsidRPr="768AC530">
        <w:rPr>
          <w:rFonts w:ascii="Arial" w:hAnsi="Arial" w:cs="Arial"/>
          <w:sz w:val="22"/>
          <w:szCs w:val="22"/>
        </w:rPr>
        <w:t>will form</w:t>
      </w:r>
      <w:r w:rsidR="0FAE19C1" w:rsidRPr="768AC530">
        <w:rPr>
          <w:rFonts w:ascii="Arial" w:hAnsi="Arial" w:cs="Arial"/>
          <w:sz w:val="22"/>
          <w:szCs w:val="22"/>
        </w:rPr>
        <w:t xml:space="preserve"> the central coordination point for all discharge and intermediate care activity across Gloucestershire. Over the next 18 months, the focus is on completing the transition to a fully mature, single</w:t>
      </w:r>
      <w:r w:rsidR="00C87D9B">
        <w:noBreakHyphen/>
      </w:r>
      <w:r w:rsidR="0FAE19C1" w:rsidRPr="768AC530">
        <w:rPr>
          <w:rFonts w:ascii="Arial" w:hAnsi="Arial" w:cs="Arial"/>
          <w:sz w:val="22"/>
          <w:szCs w:val="22"/>
        </w:rPr>
        <w:t>team model with unified leadership, digital infrastructure, and consistent operational standards.</w:t>
      </w:r>
    </w:p>
    <w:p w14:paraId="2EA9DA8E" w14:textId="5BCD6FD6" w:rsidR="00C87D9B" w:rsidRPr="00C87D9B" w:rsidRDefault="00C87D9B" w:rsidP="768AC530">
      <w:pPr>
        <w:jc w:val="both"/>
        <w:rPr>
          <w:rFonts w:ascii="Arial" w:hAnsi="Arial" w:cs="Arial"/>
          <w:sz w:val="22"/>
          <w:szCs w:val="22"/>
        </w:rPr>
      </w:pPr>
    </w:p>
    <w:p w14:paraId="735C972F" w14:textId="5974D8AA" w:rsidR="00C87D9B" w:rsidRPr="003C5416" w:rsidRDefault="5253C091" w:rsidP="768AC530">
      <w:pPr>
        <w:jc w:val="both"/>
        <w:rPr>
          <w:b/>
          <w:bCs/>
          <w:color w:val="1F497D" w:themeColor="text2"/>
        </w:rPr>
      </w:pPr>
      <w:r w:rsidRPr="003C5416">
        <w:rPr>
          <w:rFonts w:ascii="Arial" w:hAnsi="Arial" w:cs="Arial"/>
          <w:b/>
          <w:bCs/>
          <w:color w:val="1F497D" w:themeColor="text2"/>
          <w:sz w:val="22"/>
          <w:szCs w:val="22"/>
        </w:rPr>
        <w:t>Core Ambitions Phase 1 (2026–27)</w:t>
      </w:r>
      <w:r w:rsidR="003C5416" w:rsidRPr="003C5416">
        <w:rPr>
          <w:rFonts w:ascii="Arial" w:hAnsi="Arial" w:cs="Arial"/>
          <w:b/>
          <w:bCs/>
          <w:color w:val="1F497D" w:themeColor="text2"/>
          <w:sz w:val="22"/>
          <w:szCs w:val="22"/>
        </w:rPr>
        <w:t xml:space="preserve">: </w:t>
      </w:r>
    </w:p>
    <w:p w14:paraId="6EAC56E4" w14:textId="3FF6D6E4" w:rsidR="00C87D9B" w:rsidRPr="00C87D9B" w:rsidRDefault="00C87D9B" w:rsidP="768AC530">
      <w:pPr>
        <w:jc w:val="both"/>
        <w:rPr>
          <w:rFonts w:ascii="Arial" w:hAnsi="Arial" w:cs="Arial"/>
          <w:sz w:val="22"/>
          <w:szCs w:val="22"/>
        </w:rPr>
      </w:pPr>
    </w:p>
    <w:p w14:paraId="0E4710EE" w14:textId="5060F3D7" w:rsidR="00C87D9B" w:rsidRPr="00C87D9B" w:rsidRDefault="5253C091" w:rsidP="768AC530">
      <w:pPr>
        <w:numPr>
          <w:ilvl w:val="0"/>
          <w:numId w:val="3"/>
        </w:numPr>
        <w:jc w:val="both"/>
        <w:rPr>
          <w:rFonts w:ascii="Arial" w:hAnsi="Arial" w:cs="Arial"/>
          <w:sz w:val="22"/>
          <w:szCs w:val="22"/>
        </w:rPr>
      </w:pPr>
      <w:r w:rsidRPr="768AC530">
        <w:rPr>
          <w:rFonts w:ascii="Arial" w:hAnsi="Arial" w:cs="Arial"/>
          <w:sz w:val="22"/>
          <w:szCs w:val="22"/>
        </w:rPr>
        <w:t>Complete the transition to a single integrated team, bringing together ICB, GHFT, GHC and GCC functions into one coordinated operating model.</w:t>
      </w:r>
    </w:p>
    <w:p w14:paraId="73065BD6" w14:textId="5BB3BF77" w:rsidR="00C87D9B" w:rsidRPr="00C87D9B" w:rsidRDefault="5253C091" w:rsidP="768AC530">
      <w:pPr>
        <w:numPr>
          <w:ilvl w:val="0"/>
          <w:numId w:val="3"/>
        </w:numPr>
        <w:jc w:val="both"/>
        <w:rPr>
          <w:rFonts w:ascii="Arial" w:hAnsi="Arial" w:cs="Arial"/>
          <w:sz w:val="22"/>
          <w:szCs w:val="22"/>
        </w:rPr>
      </w:pPr>
      <w:r w:rsidRPr="768AC530">
        <w:rPr>
          <w:rFonts w:ascii="Arial" w:hAnsi="Arial" w:cs="Arial"/>
          <w:sz w:val="22"/>
          <w:szCs w:val="22"/>
        </w:rPr>
        <w:t>Embed trusted assessment and centralised capacity allocation across all Pathway 1–3 activity.</w:t>
      </w:r>
    </w:p>
    <w:p w14:paraId="5EFFFCB1" w14:textId="19899EDE" w:rsidR="00C87D9B" w:rsidRPr="00C87D9B" w:rsidRDefault="5253C091" w:rsidP="768AC530">
      <w:pPr>
        <w:numPr>
          <w:ilvl w:val="0"/>
          <w:numId w:val="3"/>
        </w:numPr>
        <w:jc w:val="both"/>
        <w:rPr>
          <w:rFonts w:ascii="Arial" w:hAnsi="Arial" w:cs="Arial"/>
          <w:sz w:val="22"/>
          <w:szCs w:val="22"/>
        </w:rPr>
      </w:pPr>
      <w:r w:rsidRPr="768AC530">
        <w:rPr>
          <w:rFonts w:ascii="Arial" w:hAnsi="Arial" w:cs="Arial"/>
          <w:sz w:val="22"/>
          <w:szCs w:val="22"/>
        </w:rPr>
        <w:lastRenderedPageBreak/>
        <w:t>Strengthen MDT case management to ensure consistent discharge planning from admission and improved flow.</w:t>
      </w:r>
    </w:p>
    <w:p w14:paraId="5AB5B6A5" w14:textId="2A60DA3B" w:rsidR="00C87D9B" w:rsidRPr="00C87D9B" w:rsidRDefault="5253C091" w:rsidP="768AC530">
      <w:pPr>
        <w:numPr>
          <w:ilvl w:val="0"/>
          <w:numId w:val="3"/>
        </w:numPr>
        <w:jc w:val="both"/>
        <w:rPr>
          <w:rFonts w:ascii="Arial" w:hAnsi="Arial" w:cs="Arial"/>
          <w:sz w:val="22"/>
          <w:szCs w:val="22"/>
        </w:rPr>
      </w:pPr>
      <w:r w:rsidRPr="768AC530">
        <w:rPr>
          <w:rFonts w:ascii="Arial" w:hAnsi="Arial" w:cs="Arial"/>
          <w:sz w:val="22"/>
          <w:szCs w:val="22"/>
        </w:rPr>
        <w:t>Align CTH development with wider Intermediate Care and SPOA transformation, ensuring seamless pathways and shared governance.</w:t>
      </w:r>
    </w:p>
    <w:p w14:paraId="3587B903" w14:textId="77777777" w:rsidR="00C87D9B" w:rsidRPr="00C87D9B" w:rsidRDefault="00C87D9B" w:rsidP="00C87D9B">
      <w:pPr>
        <w:jc w:val="both"/>
        <w:rPr>
          <w:rFonts w:ascii="Arial" w:hAnsi="Arial" w:cs="Arial"/>
          <w:sz w:val="22"/>
          <w:szCs w:val="22"/>
        </w:rPr>
      </w:pPr>
    </w:p>
    <w:p w14:paraId="75FCEF9F" w14:textId="32D16A54" w:rsidR="00637E26" w:rsidRDefault="0F9C9893" w:rsidP="00C87D9B">
      <w:pPr>
        <w:jc w:val="both"/>
        <w:rPr>
          <w:rFonts w:ascii="Arial" w:hAnsi="Arial" w:cs="Arial"/>
          <w:sz w:val="22"/>
          <w:szCs w:val="22"/>
        </w:rPr>
      </w:pPr>
      <w:r w:rsidRPr="768AC530">
        <w:rPr>
          <w:rFonts w:ascii="Arial" w:hAnsi="Arial" w:cs="Arial"/>
          <w:sz w:val="22"/>
          <w:szCs w:val="22"/>
        </w:rPr>
        <w:t>Discharge escalation intelligence is reviewed through the System Co-ordination Centre (SCC) Daily Position Call and System Flow Tactical Escalation Group (SF-TEG), providing a clear route from identification of pressure to coordinated system action. Used alongside Integrated OPEL and IUCS OPEL arrangements, the framework provides a broader view of flow across the patient's pathway and enables targeted escalation where capacity or performance is deteriorating. This will be particularly important during winter, supporting earlier intervention, system-wide mitigation and more effective use of available health and social care capacity.</w:t>
      </w:r>
    </w:p>
    <w:p w14:paraId="1F7C28A7" w14:textId="77777777" w:rsidR="00637E26" w:rsidRPr="00DF4841" w:rsidRDefault="00637E26" w:rsidP="00637E26">
      <w:pPr>
        <w:jc w:val="both"/>
        <w:rPr>
          <w:rFonts w:ascii="Arial" w:hAnsi="Arial" w:cs="Arial"/>
          <w:sz w:val="22"/>
          <w:szCs w:val="18"/>
        </w:rPr>
      </w:pPr>
    </w:p>
    <w:p w14:paraId="5E760A81" w14:textId="2B6EFE33" w:rsidR="00DF4841" w:rsidRPr="000530B1" w:rsidRDefault="00DF4841" w:rsidP="000530B1">
      <w:pPr>
        <w:pStyle w:val="Heading3"/>
        <w:rPr>
          <w:color w:val="1F497D" w:themeColor="text2"/>
          <w:sz w:val="28"/>
          <w:szCs w:val="22"/>
        </w:rPr>
      </w:pPr>
      <w:bookmarkStart w:id="19" w:name="_Toc239682123"/>
      <w:r w:rsidRPr="000530B1">
        <w:rPr>
          <w:color w:val="1F497D" w:themeColor="text2"/>
          <w:sz w:val="28"/>
          <w:szCs w:val="22"/>
        </w:rPr>
        <w:t>Demand, Capacity and Surge Planning</w:t>
      </w:r>
      <w:bookmarkEnd w:id="19"/>
    </w:p>
    <w:p w14:paraId="717DD2A6" w14:textId="77777777" w:rsidR="00DF4841" w:rsidRPr="00DF4841" w:rsidRDefault="00DF4841" w:rsidP="00DF4841">
      <w:pPr>
        <w:jc w:val="both"/>
        <w:rPr>
          <w:rFonts w:ascii="Arial" w:hAnsi="Arial" w:cs="Arial"/>
          <w:sz w:val="22"/>
          <w:szCs w:val="18"/>
        </w:rPr>
      </w:pPr>
    </w:p>
    <w:p w14:paraId="030717B4" w14:textId="77777777" w:rsidR="00DF4841" w:rsidRDefault="00DF4841" w:rsidP="00DF4841">
      <w:pPr>
        <w:jc w:val="both"/>
        <w:rPr>
          <w:rFonts w:ascii="Arial" w:hAnsi="Arial" w:cs="Arial"/>
          <w:sz w:val="22"/>
          <w:szCs w:val="18"/>
        </w:rPr>
      </w:pPr>
      <w:r w:rsidRPr="00DF4841">
        <w:rPr>
          <w:rFonts w:ascii="Arial" w:hAnsi="Arial" w:cs="Arial"/>
          <w:sz w:val="22"/>
          <w:szCs w:val="18"/>
        </w:rPr>
        <w:t>(BAS Domain 3)</w:t>
      </w:r>
    </w:p>
    <w:p w14:paraId="7869F1E1" w14:textId="77777777" w:rsidR="008C1DFD" w:rsidRPr="00DF4841" w:rsidRDefault="008C1DFD" w:rsidP="00DF4841">
      <w:pPr>
        <w:jc w:val="both"/>
        <w:rPr>
          <w:rFonts w:ascii="Arial" w:hAnsi="Arial" w:cs="Arial"/>
          <w:sz w:val="22"/>
          <w:szCs w:val="18"/>
        </w:rPr>
      </w:pPr>
    </w:p>
    <w:p w14:paraId="3414867D" w14:textId="39188DC0" w:rsidR="000767AE" w:rsidRPr="000767AE" w:rsidRDefault="00B240DB" w:rsidP="000767AE">
      <w:pPr>
        <w:jc w:val="both"/>
        <w:rPr>
          <w:rFonts w:ascii="Arial" w:hAnsi="Arial" w:cs="Arial"/>
          <w:sz w:val="22"/>
          <w:szCs w:val="22"/>
        </w:rPr>
      </w:pPr>
      <w:r w:rsidRPr="768AC530">
        <w:rPr>
          <w:rFonts w:ascii="Arial" w:hAnsi="Arial" w:cs="Arial"/>
          <w:sz w:val="22"/>
          <w:szCs w:val="22"/>
        </w:rPr>
        <w:t>Gloucestershire's approach is underpinned by whole-system demand and capacity modelling, enabling commissioning and planning decisions to be informed by population need, activity forecasts and emerging operational intelligence</w:t>
      </w:r>
      <w:r w:rsidR="577588C9" w:rsidRPr="768AC530">
        <w:rPr>
          <w:rFonts w:ascii="Arial" w:hAnsi="Arial" w:cs="Arial"/>
          <w:sz w:val="22"/>
          <w:szCs w:val="22"/>
        </w:rPr>
        <w:t>.</w:t>
      </w:r>
    </w:p>
    <w:p w14:paraId="12783158" w14:textId="77777777" w:rsidR="000767AE" w:rsidRPr="000767AE" w:rsidRDefault="000767AE" w:rsidP="000767AE">
      <w:pPr>
        <w:jc w:val="both"/>
        <w:rPr>
          <w:rFonts w:ascii="Arial" w:hAnsi="Arial" w:cs="Arial"/>
          <w:sz w:val="22"/>
          <w:szCs w:val="22"/>
        </w:rPr>
      </w:pPr>
    </w:p>
    <w:p w14:paraId="2809BED5" w14:textId="0765AE32" w:rsidR="000767AE" w:rsidRPr="000767AE" w:rsidRDefault="00B240DB" w:rsidP="000767AE">
      <w:pPr>
        <w:jc w:val="both"/>
        <w:rPr>
          <w:rFonts w:ascii="Arial" w:hAnsi="Arial" w:cs="Arial"/>
          <w:sz w:val="22"/>
          <w:szCs w:val="22"/>
        </w:rPr>
      </w:pPr>
      <w:r w:rsidRPr="768AC530">
        <w:rPr>
          <w:rFonts w:ascii="Arial" w:hAnsi="Arial" w:cs="Arial"/>
          <w:sz w:val="22"/>
          <w:szCs w:val="22"/>
        </w:rPr>
        <w:t>Demand and capacity modelling undertaken through the Working as One programme, has informed the development of Gloucestershire's three priority transformation workstreams: management of demand, discharge efficiency and intermediate care redesign. This evidence base continues to inform commissioning decisions and capacity assumptions, supporting alignment between anticipated demand and available resource across acute, community, ambulance and primary care services.</w:t>
      </w:r>
    </w:p>
    <w:p w14:paraId="18EABE42" w14:textId="77777777" w:rsidR="000767AE" w:rsidRPr="000767AE" w:rsidRDefault="000767AE" w:rsidP="000767AE">
      <w:pPr>
        <w:jc w:val="both"/>
        <w:rPr>
          <w:rFonts w:ascii="Arial" w:hAnsi="Arial" w:cs="Arial"/>
          <w:sz w:val="22"/>
          <w:szCs w:val="22"/>
        </w:rPr>
      </w:pPr>
    </w:p>
    <w:p w14:paraId="0091AB65" w14:textId="645A57D8" w:rsidR="000767AE" w:rsidRPr="000767AE" w:rsidRDefault="00B240DB" w:rsidP="000767AE">
      <w:pPr>
        <w:jc w:val="both"/>
        <w:rPr>
          <w:rFonts w:ascii="Arial" w:hAnsi="Arial" w:cs="Arial"/>
          <w:sz w:val="22"/>
          <w:szCs w:val="22"/>
        </w:rPr>
      </w:pPr>
      <w:r w:rsidRPr="768AC530">
        <w:rPr>
          <w:rFonts w:ascii="Arial" w:hAnsi="Arial" w:cs="Arial"/>
          <w:sz w:val="22"/>
          <w:szCs w:val="22"/>
        </w:rPr>
        <w:t>Alongside longer-term modelling, Gloucestershire has developed a</w:t>
      </w:r>
      <w:r w:rsidR="28DB3302" w:rsidRPr="768AC530">
        <w:rPr>
          <w:rFonts w:ascii="Arial" w:hAnsi="Arial" w:cs="Arial"/>
          <w:sz w:val="22"/>
          <w:szCs w:val="22"/>
        </w:rPr>
        <w:t xml:space="preserve"> robust</w:t>
      </w:r>
      <w:r w:rsidRPr="768AC530">
        <w:rPr>
          <w:rFonts w:ascii="Arial" w:hAnsi="Arial" w:cs="Arial"/>
          <w:sz w:val="22"/>
          <w:szCs w:val="22"/>
        </w:rPr>
        <w:t xml:space="preserve"> predictive approach to system oversight. Integrated predictive intelligence is routinely reviewed through the Tactical Escalation </w:t>
      </w:r>
      <w:r w:rsidR="7462D574" w:rsidRPr="768AC530">
        <w:rPr>
          <w:rFonts w:ascii="Arial" w:hAnsi="Arial" w:cs="Arial"/>
          <w:sz w:val="22"/>
          <w:szCs w:val="22"/>
        </w:rPr>
        <w:t>meetings</w:t>
      </w:r>
      <w:r w:rsidRPr="768AC530">
        <w:rPr>
          <w:rFonts w:ascii="Arial" w:hAnsi="Arial" w:cs="Arial"/>
          <w:sz w:val="22"/>
          <w:szCs w:val="22"/>
        </w:rPr>
        <w:t xml:space="preserve">, </w:t>
      </w:r>
      <w:r w:rsidR="43ADB681" w:rsidRPr="768AC530">
        <w:rPr>
          <w:rFonts w:ascii="Arial" w:hAnsi="Arial" w:cs="Arial"/>
          <w:sz w:val="22"/>
          <w:szCs w:val="22"/>
        </w:rPr>
        <w:t>reviewing</w:t>
      </w:r>
      <w:r w:rsidRPr="768AC530">
        <w:rPr>
          <w:rFonts w:ascii="Arial" w:hAnsi="Arial" w:cs="Arial"/>
          <w:sz w:val="22"/>
          <w:szCs w:val="22"/>
        </w:rPr>
        <w:t xml:space="preserve"> admission forecasts, bed occupancy, workforce capacity, historical demand trends and relevant public health intelligence, including seasonal flu forecasts and COVID-19 prevalence. This provides an early indication of where and when pressures are likely to emerge and supports a shared system understanding of risk before operational escalation occurs</w:t>
      </w:r>
      <w:r w:rsidR="3D87B327" w:rsidRPr="768AC530">
        <w:rPr>
          <w:rFonts w:ascii="Arial" w:hAnsi="Arial" w:cs="Arial"/>
          <w:sz w:val="22"/>
          <w:szCs w:val="22"/>
        </w:rPr>
        <w:t xml:space="preserve"> and enables effective surge planning</w:t>
      </w:r>
    </w:p>
    <w:p w14:paraId="38164032" w14:textId="77777777" w:rsidR="000767AE" w:rsidRPr="000767AE" w:rsidRDefault="000767AE" w:rsidP="000767AE">
      <w:pPr>
        <w:jc w:val="both"/>
        <w:rPr>
          <w:rFonts w:ascii="Arial" w:hAnsi="Arial" w:cs="Arial"/>
          <w:sz w:val="22"/>
          <w:szCs w:val="22"/>
        </w:rPr>
      </w:pPr>
    </w:p>
    <w:p w14:paraId="3C13FCF4" w14:textId="571A5A64" w:rsidR="00DF4841" w:rsidRDefault="00B240DB" w:rsidP="000767AE">
      <w:pPr>
        <w:jc w:val="both"/>
        <w:rPr>
          <w:rFonts w:ascii="Arial" w:hAnsi="Arial" w:cs="Arial"/>
          <w:sz w:val="22"/>
          <w:szCs w:val="22"/>
        </w:rPr>
      </w:pPr>
      <w:r w:rsidRPr="768AC530">
        <w:rPr>
          <w:rFonts w:ascii="Arial" w:hAnsi="Arial" w:cs="Arial"/>
          <w:sz w:val="22"/>
          <w:szCs w:val="22"/>
        </w:rPr>
        <w:t>Learning from Winter 2025/26 reinforced the importance of testing assumptions and system resilience before periods of peak demand. Gloucestershire will participate in the NHS England regional winter stress-testing programme, complemented by locally led scenario exercises to test demand and capacity assumptions, governance and command arrangements, workforce resilience, mutual aid, escalation processes and organisational interdependencies. Findings will be used to refine winter plans and mitigations, providing additional assurance of whole-system readiness ahead of winter.</w:t>
      </w:r>
    </w:p>
    <w:p w14:paraId="71BB2913" w14:textId="77777777" w:rsidR="000767AE" w:rsidRPr="00DF4841" w:rsidRDefault="000767AE" w:rsidP="000767AE">
      <w:pPr>
        <w:jc w:val="both"/>
        <w:rPr>
          <w:rFonts w:ascii="Arial" w:hAnsi="Arial" w:cs="Arial"/>
          <w:sz w:val="22"/>
          <w:szCs w:val="18"/>
        </w:rPr>
      </w:pPr>
    </w:p>
    <w:p w14:paraId="65DC005E" w14:textId="669CE4C3" w:rsidR="00DF4841" w:rsidRPr="000530B1" w:rsidRDefault="00DF4841" w:rsidP="000530B1">
      <w:pPr>
        <w:pStyle w:val="Heading3"/>
        <w:rPr>
          <w:color w:val="1F497D" w:themeColor="text2"/>
          <w:sz w:val="28"/>
          <w:szCs w:val="22"/>
        </w:rPr>
      </w:pPr>
      <w:bookmarkStart w:id="20" w:name="_Toc239682124"/>
      <w:r w:rsidRPr="000530B1">
        <w:rPr>
          <w:color w:val="1F497D" w:themeColor="text2"/>
          <w:sz w:val="28"/>
          <w:szCs w:val="22"/>
        </w:rPr>
        <w:t>Primary Care, NHS 111 and Admission Avoidance</w:t>
      </w:r>
      <w:bookmarkEnd w:id="20"/>
    </w:p>
    <w:p w14:paraId="44070D49" w14:textId="77777777" w:rsidR="00DF4841" w:rsidRPr="00DF4841" w:rsidRDefault="00DF4841" w:rsidP="00DF4841">
      <w:pPr>
        <w:jc w:val="both"/>
        <w:rPr>
          <w:rFonts w:ascii="Arial" w:hAnsi="Arial" w:cs="Arial"/>
          <w:sz w:val="22"/>
          <w:szCs w:val="18"/>
        </w:rPr>
      </w:pPr>
    </w:p>
    <w:p w14:paraId="5D957C04" w14:textId="77777777" w:rsidR="00DF4841" w:rsidRPr="00DF4841" w:rsidRDefault="00DF4841" w:rsidP="00DF4841">
      <w:pPr>
        <w:jc w:val="both"/>
        <w:rPr>
          <w:rFonts w:ascii="Arial" w:hAnsi="Arial" w:cs="Arial"/>
          <w:sz w:val="22"/>
          <w:szCs w:val="18"/>
        </w:rPr>
      </w:pPr>
      <w:r w:rsidRPr="00DF4841">
        <w:rPr>
          <w:rFonts w:ascii="Arial" w:hAnsi="Arial" w:cs="Arial"/>
          <w:sz w:val="22"/>
          <w:szCs w:val="18"/>
        </w:rPr>
        <w:t>(BAS Domain 4)</w:t>
      </w:r>
    </w:p>
    <w:p w14:paraId="4AC37EC4" w14:textId="77777777" w:rsidR="00DF4841" w:rsidRPr="00DF4841" w:rsidRDefault="00DF4841" w:rsidP="00DF4841">
      <w:pPr>
        <w:jc w:val="both"/>
        <w:rPr>
          <w:rFonts w:ascii="Arial" w:hAnsi="Arial" w:cs="Arial"/>
          <w:sz w:val="22"/>
          <w:szCs w:val="22"/>
        </w:rPr>
      </w:pPr>
    </w:p>
    <w:p w14:paraId="1D0D3DD9" w14:textId="56F1A0DA" w:rsidR="00CD4C40" w:rsidRPr="00DF4841" w:rsidRDefault="0F810C2A" w:rsidP="00DF4841">
      <w:pPr>
        <w:jc w:val="both"/>
      </w:pPr>
      <w:r w:rsidRPr="768AC530">
        <w:rPr>
          <w:rFonts w:ascii="Arial" w:hAnsi="Arial" w:cs="Arial"/>
          <w:sz w:val="22"/>
          <w:szCs w:val="22"/>
        </w:rPr>
        <w:t xml:space="preserve">Primary care, NHS 111 and Community Pharmacy provide </w:t>
      </w:r>
      <w:r w:rsidR="423D5650" w:rsidRPr="768AC530">
        <w:rPr>
          <w:rFonts w:ascii="Arial" w:hAnsi="Arial" w:cs="Arial"/>
          <w:sz w:val="22"/>
          <w:szCs w:val="22"/>
        </w:rPr>
        <w:t>the initial</w:t>
      </w:r>
      <w:r w:rsidRPr="768AC530">
        <w:rPr>
          <w:rFonts w:ascii="Arial" w:hAnsi="Arial" w:cs="Arial"/>
          <w:sz w:val="22"/>
          <w:szCs w:val="22"/>
        </w:rPr>
        <w:t xml:space="preserve"> front doors to urgent care and are central to preventing avoidable Emergency Department attendance and hospital admission. During Winter 2026/27, the ICB will continue to commission and assure an integrated urgent care offer spanning General Practice, NHS 111 and out-of-hours services, Community Pharmacy, Minor Injury and Illness Units (MIIUs), urgent treatment services and acute assessment pathways. The aim is to maximise same-day access, strengthen navigation between services and ensure people receive timely care in the most appropriate setting.</w:t>
      </w:r>
    </w:p>
    <w:p w14:paraId="1ACCB658" w14:textId="5B86D366" w:rsidR="00CD4C40" w:rsidRPr="00DF4841" w:rsidRDefault="00CD4C40" w:rsidP="768AC530">
      <w:pPr>
        <w:jc w:val="both"/>
        <w:rPr>
          <w:rFonts w:ascii="Arial" w:hAnsi="Arial" w:cs="Arial"/>
          <w:sz w:val="22"/>
          <w:szCs w:val="22"/>
        </w:rPr>
      </w:pPr>
    </w:p>
    <w:p w14:paraId="28C5D4F2" w14:textId="648CACA1" w:rsidR="00CD4C40" w:rsidRPr="00DF4841" w:rsidRDefault="0F810C2A" w:rsidP="768AC530">
      <w:pPr>
        <w:jc w:val="both"/>
      </w:pPr>
      <w:r w:rsidRPr="768AC530">
        <w:rPr>
          <w:rFonts w:ascii="Arial" w:hAnsi="Arial" w:cs="Arial"/>
          <w:sz w:val="22"/>
          <w:szCs w:val="22"/>
        </w:rPr>
        <w:t>Primary care winter assurance will combine commissioned additional capacity with contractual oversight and improved integration across urgent care pathways. Additional General Practice appointments will be targeted around known periods of increased pressure, including Christmas and New Year, alongside continued assurance of contractual access requirements, including same-day access for clinically urgent need, online access and NHS 111 direct-bookable capacity. PCN Enhanced Access arrangements will also support the wider urgent care offer, with further work continuing to strengthen direct booking from NHS 111 and address digital or hub constraints where these remain.</w:t>
      </w:r>
    </w:p>
    <w:p w14:paraId="7322CD64" w14:textId="34CB5311" w:rsidR="00CD4C40" w:rsidRPr="00DF4841" w:rsidRDefault="00CD4C40" w:rsidP="768AC530">
      <w:pPr>
        <w:jc w:val="both"/>
        <w:rPr>
          <w:rFonts w:ascii="Arial" w:hAnsi="Arial" w:cs="Arial"/>
          <w:sz w:val="22"/>
          <w:szCs w:val="22"/>
        </w:rPr>
      </w:pPr>
    </w:p>
    <w:p w14:paraId="4A23E116" w14:textId="75E99054" w:rsidR="00CD4C40" w:rsidRPr="00DF4841" w:rsidRDefault="0F810C2A" w:rsidP="768AC530">
      <w:pPr>
        <w:jc w:val="both"/>
      </w:pPr>
      <w:r w:rsidRPr="768AC530">
        <w:rPr>
          <w:rFonts w:ascii="Arial" w:hAnsi="Arial" w:cs="Arial"/>
          <w:sz w:val="22"/>
          <w:szCs w:val="22"/>
        </w:rPr>
        <w:t>Winter planning will include specific assurance of service availability across peak periods, particularly Christmas, New Year and bank holidays. This will include maintaining accurate Directory of Services (DoS) information and referral routes, assuring appropriate NHS 111 and out-of-hours capacity and coordinating public communications to promote alternatives to Emergency Departments. Gloucestershire's out-of-hours provision is delivered by GHC, with an IC24 element, and regular engagement between providers and DoS teams supports continued improvement in referral pathways and patient navigation.</w:t>
      </w:r>
    </w:p>
    <w:p w14:paraId="5CABED6F" w14:textId="024AE2A5" w:rsidR="00CD4C40" w:rsidRPr="00DF4841" w:rsidRDefault="00CD4C40" w:rsidP="768AC530">
      <w:pPr>
        <w:jc w:val="both"/>
        <w:rPr>
          <w:rFonts w:ascii="Arial" w:hAnsi="Arial" w:cs="Arial"/>
          <w:sz w:val="22"/>
          <w:szCs w:val="22"/>
        </w:rPr>
      </w:pPr>
    </w:p>
    <w:p w14:paraId="5868C316" w14:textId="068DD70A" w:rsidR="00CD4C40" w:rsidRPr="00DF4841" w:rsidRDefault="0F810C2A" w:rsidP="768AC530">
      <w:pPr>
        <w:jc w:val="both"/>
      </w:pPr>
      <w:r w:rsidRPr="768AC530">
        <w:rPr>
          <w:rFonts w:ascii="Arial" w:hAnsi="Arial" w:cs="Arial"/>
          <w:sz w:val="22"/>
          <w:szCs w:val="22"/>
        </w:rPr>
        <w:t xml:space="preserve">Community Pharmacy forms an increasingly important component of this integrated offer. Capacity is routinely monitored through local intelligence and the </w:t>
      </w:r>
      <w:proofErr w:type="gramStart"/>
      <w:r w:rsidRPr="768AC530">
        <w:rPr>
          <w:rFonts w:ascii="Arial" w:hAnsi="Arial" w:cs="Arial"/>
          <w:sz w:val="22"/>
          <w:szCs w:val="22"/>
        </w:rPr>
        <w:t>South West</w:t>
      </w:r>
      <w:proofErr w:type="gramEnd"/>
      <w:r w:rsidRPr="768AC530">
        <w:rPr>
          <w:rFonts w:ascii="Arial" w:hAnsi="Arial" w:cs="Arial"/>
          <w:sz w:val="22"/>
          <w:szCs w:val="22"/>
        </w:rPr>
        <w:t xml:space="preserve"> Community Pharmacy Dashboard, providing oversight of core, supplementary and out-of-hours opening hours. Bank holiday pharmacy provision is coordinated through the Collaborative Commissioning Hub across the seven ICB areas, providing additional assurance of access during periods when other services may operate reduced hours. Alongside this, the ICB maintains oversight of unscheduled dental care through contract-level and routine performance monitoring, supporting a broader view of primary care access and resilience.</w:t>
      </w:r>
    </w:p>
    <w:p w14:paraId="1AFE5951" w14:textId="18E6E8C4" w:rsidR="00CD4C40" w:rsidRPr="00DF4841" w:rsidRDefault="00CD4C40" w:rsidP="768AC530">
      <w:pPr>
        <w:jc w:val="both"/>
        <w:rPr>
          <w:rFonts w:ascii="Arial" w:hAnsi="Arial" w:cs="Arial"/>
          <w:sz w:val="22"/>
          <w:szCs w:val="22"/>
        </w:rPr>
      </w:pPr>
    </w:p>
    <w:p w14:paraId="39828EAA" w14:textId="78C57325" w:rsidR="00CD4C40" w:rsidRPr="00DF4841" w:rsidRDefault="0F810C2A" w:rsidP="768AC530">
      <w:pPr>
        <w:jc w:val="both"/>
      </w:pPr>
      <w:r w:rsidRPr="768AC530">
        <w:rPr>
          <w:rFonts w:ascii="Arial" w:hAnsi="Arial" w:cs="Arial"/>
          <w:sz w:val="22"/>
          <w:szCs w:val="22"/>
        </w:rPr>
        <w:t>Gloucestershire will continue to maximise the contribution of Pharmacy First and the Discharge Medicines Service (DMS) to winter resilience. Pharmacy First provides an alternative route to assessment, advice and treatment for appropriate conditions, while DMS supports continuity and optimisation of medicines following discharge from hospital. Gloucestershire's locally commissioned Patient Group Direction (PGD) service further broadens access to assessment and treatment where appropriate without requiring a General Practice appointment. Together, these services increase the range of alternatives available to patients, protect General Practice capacity and reduce avoidable demand elsewhere in the urgent and emergency care pathway.</w:t>
      </w:r>
    </w:p>
    <w:p w14:paraId="345BC6E7" w14:textId="417D16DA" w:rsidR="00CD4C40" w:rsidRPr="00DF4841" w:rsidRDefault="00CD4C40" w:rsidP="768AC530">
      <w:pPr>
        <w:jc w:val="both"/>
        <w:rPr>
          <w:rFonts w:ascii="Arial" w:hAnsi="Arial" w:cs="Arial"/>
          <w:sz w:val="22"/>
          <w:szCs w:val="22"/>
        </w:rPr>
      </w:pPr>
    </w:p>
    <w:p w14:paraId="4CE8CE9F" w14:textId="3650F04F" w:rsidR="00CD4C40" w:rsidRPr="00DF4841" w:rsidRDefault="0F810C2A" w:rsidP="768AC530">
      <w:pPr>
        <w:jc w:val="both"/>
      </w:pPr>
      <w:r w:rsidRPr="768AC530">
        <w:rPr>
          <w:rFonts w:ascii="Arial" w:hAnsi="Arial" w:cs="Arial"/>
          <w:sz w:val="22"/>
          <w:szCs w:val="22"/>
        </w:rPr>
        <w:t>Throughout winter, the ICB will maintain a whole-pathway view of access, demand and capacity across General Practice, NHS 111, out-of-hours provision, Community Pharmacy and associated urgent care services. Oversight of service performance, DoS accuracy, direct-bookable capacity, Pharmacy First and DMS activity, and holiday-period provision will support early identification of emerging gaps and enable targeted action where additional capacity or system intervention is required.</w:t>
      </w:r>
    </w:p>
    <w:p w14:paraId="645EEB09" w14:textId="7049CC84" w:rsidR="00CD4C40" w:rsidRPr="00DF4841" w:rsidRDefault="00CD4C40" w:rsidP="768AC530">
      <w:pPr>
        <w:jc w:val="both"/>
        <w:rPr>
          <w:rFonts w:ascii="Arial" w:hAnsi="Arial" w:cs="Arial"/>
          <w:sz w:val="22"/>
          <w:szCs w:val="22"/>
        </w:rPr>
      </w:pPr>
    </w:p>
    <w:p w14:paraId="212D0D64" w14:textId="3D8B860B" w:rsidR="00DF4841" w:rsidRPr="000530B1" w:rsidRDefault="00DF4841" w:rsidP="000530B1">
      <w:pPr>
        <w:pStyle w:val="Heading3"/>
        <w:rPr>
          <w:color w:val="1F497D" w:themeColor="text2"/>
          <w:sz w:val="28"/>
          <w:szCs w:val="22"/>
        </w:rPr>
      </w:pPr>
      <w:bookmarkStart w:id="21" w:name="_Toc239682125"/>
      <w:r w:rsidRPr="000530B1">
        <w:rPr>
          <w:color w:val="1F497D" w:themeColor="text2"/>
          <w:sz w:val="28"/>
          <w:szCs w:val="22"/>
        </w:rPr>
        <w:t>Community Health Capacity</w:t>
      </w:r>
      <w:bookmarkEnd w:id="21"/>
    </w:p>
    <w:p w14:paraId="58676E92" w14:textId="77777777" w:rsidR="00DF4841" w:rsidRPr="00DF4841" w:rsidRDefault="00DF4841" w:rsidP="00DF4841">
      <w:pPr>
        <w:jc w:val="both"/>
        <w:rPr>
          <w:rFonts w:ascii="Arial" w:hAnsi="Arial" w:cs="Arial"/>
          <w:sz w:val="22"/>
          <w:szCs w:val="18"/>
        </w:rPr>
      </w:pPr>
    </w:p>
    <w:p w14:paraId="1309CE8E" w14:textId="77777777" w:rsidR="00DF4841" w:rsidRPr="00DF4841" w:rsidRDefault="0485C237" w:rsidP="00DF4841">
      <w:pPr>
        <w:jc w:val="both"/>
        <w:rPr>
          <w:rFonts w:ascii="Arial" w:hAnsi="Arial" w:cs="Arial"/>
          <w:sz w:val="22"/>
          <w:szCs w:val="18"/>
        </w:rPr>
      </w:pPr>
      <w:r w:rsidRPr="768AC530">
        <w:rPr>
          <w:rFonts w:ascii="Arial" w:hAnsi="Arial" w:cs="Arial"/>
          <w:sz w:val="22"/>
          <w:szCs w:val="22"/>
        </w:rPr>
        <w:t>(BAS Domain 5)</w:t>
      </w:r>
    </w:p>
    <w:p w14:paraId="653E6D38" w14:textId="301CA937" w:rsidR="768AC530" w:rsidRDefault="768AC530" w:rsidP="768AC530">
      <w:pPr>
        <w:jc w:val="both"/>
        <w:rPr>
          <w:rFonts w:ascii="Arial" w:hAnsi="Arial" w:cs="Arial"/>
          <w:sz w:val="22"/>
          <w:szCs w:val="22"/>
        </w:rPr>
      </w:pPr>
    </w:p>
    <w:p w14:paraId="4E7E129F" w14:textId="345F334D" w:rsidR="001D2DBC" w:rsidRPr="001D2DBC" w:rsidRDefault="4456DD8B" w:rsidP="768AC530">
      <w:pPr>
        <w:jc w:val="both"/>
        <w:rPr>
          <w:rFonts w:ascii="Arial" w:hAnsi="Arial" w:cs="Arial"/>
          <w:sz w:val="22"/>
          <w:szCs w:val="22"/>
        </w:rPr>
      </w:pPr>
      <w:r w:rsidRPr="768AC530">
        <w:rPr>
          <w:rFonts w:ascii="Arial" w:hAnsi="Arial" w:cs="Arial"/>
          <w:sz w:val="22"/>
          <w:szCs w:val="22"/>
        </w:rPr>
        <w:t xml:space="preserve">The Working as One </w:t>
      </w:r>
      <w:r w:rsidR="3C77B5D8" w:rsidRPr="768AC530">
        <w:rPr>
          <w:rFonts w:ascii="Arial" w:hAnsi="Arial" w:cs="Arial"/>
          <w:sz w:val="22"/>
          <w:szCs w:val="22"/>
        </w:rPr>
        <w:t xml:space="preserve">UEC portfolio </w:t>
      </w:r>
      <w:r w:rsidRPr="768AC530">
        <w:rPr>
          <w:rFonts w:ascii="Arial" w:hAnsi="Arial" w:cs="Arial"/>
          <w:sz w:val="22"/>
          <w:szCs w:val="22"/>
        </w:rPr>
        <w:t>programme continues to redesign community urgent care through the development of the Single Point of Access (SPOA), Urgent Community Response (UCR), Hospital at Home and Virtual Wards. Together, these services will provide a more coordinated front door into community care, enabling healthcare professionals to access rapid assessment and intervention through simplified referral routes and reducing unnecessary duplication and hand-offs between services.</w:t>
      </w:r>
    </w:p>
    <w:p w14:paraId="559D350D" w14:textId="77777777" w:rsidR="001D2DBC" w:rsidRPr="001D2DBC" w:rsidRDefault="001D2DBC" w:rsidP="001D2DBC">
      <w:pPr>
        <w:jc w:val="both"/>
        <w:rPr>
          <w:rFonts w:ascii="Arial" w:hAnsi="Arial" w:cs="Arial"/>
          <w:sz w:val="22"/>
          <w:szCs w:val="18"/>
        </w:rPr>
      </w:pPr>
    </w:p>
    <w:p w14:paraId="017724FB" w14:textId="09F3B65C" w:rsidR="4EF147D8" w:rsidRDefault="4EF147D8" w:rsidP="0E4022BA">
      <w:pPr>
        <w:jc w:val="both"/>
      </w:pPr>
      <w:r w:rsidRPr="0E4022BA">
        <w:rPr>
          <w:rFonts w:ascii="Arial" w:hAnsi="Arial" w:cs="Arial"/>
          <w:sz w:val="22"/>
          <w:szCs w:val="22"/>
        </w:rPr>
        <w:t xml:space="preserve">During Winter 2026/27, development of the SPOA/SPCA model will continue through a phased approach, supported by strengthened senior clinical decision-making and improved </w:t>
      </w:r>
      <w:r w:rsidRPr="0E4022BA">
        <w:rPr>
          <w:rFonts w:ascii="Arial" w:hAnsi="Arial" w:cs="Arial"/>
          <w:sz w:val="22"/>
          <w:szCs w:val="22"/>
        </w:rPr>
        <w:lastRenderedPageBreak/>
        <w:t>coordination and visibility of community capacity. Winter plans include proposed increased SPCA clinical capacity from 08:00–20:00 during periods of increased demand, supporting referrals from SWAST, streaming from the Clinical Assessment Service and improved coordination of community and step-up capacity, subject to clinical sign-off across provider partners.  Alongside continued development of UCR, Virtual Wards, Hospital at Home and intermediate care, this supports Gloucestershire's longer-term ambition to provide more urgent care outside hospital and reduce avoidable admissions.</w:t>
      </w:r>
    </w:p>
    <w:p w14:paraId="64C6E038" w14:textId="77777777" w:rsidR="003E40A3" w:rsidRDefault="003E40A3" w:rsidP="001D2DBC">
      <w:pPr>
        <w:jc w:val="both"/>
        <w:rPr>
          <w:rFonts w:ascii="Arial" w:hAnsi="Arial" w:cs="Arial"/>
          <w:sz w:val="22"/>
          <w:szCs w:val="18"/>
        </w:rPr>
      </w:pPr>
    </w:p>
    <w:p w14:paraId="4E363F31" w14:textId="3BD45DCF" w:rsidR="003E40A3" w:rsidRPr="000978CF" w:rsidRDefault="000978CF" w:rsidP="003E40A3">
      <w:pPr>
        <w:jc w:val="both"/>
        <w:rPr>
          <w:rFonts w:ascii="Arial" w:hAnsi="Arial" w:cs="Arial"/>
          <w:b/>
          <w:bCs/>
          <w:color w:val="1F497D" w:themeColor="text2"/>
          <w:sz w:val="22"/>
          <w:szCs w:val="18"/>
        </w:rPr>
      </w:pPr>
      <w:r w:rsidRPr="000978CF">
        <w:rPr>
          <w:rFonts w:ascii="Arial" w:hAnsi="Arial" w:cs="Arial"/>
          <w:b/>
          <w:bCs/>
          <w:color w:val="1F497D" w:themeColor="text2"/>
          <w:sz w:val="22"/>
          <w:szCs w:val="18"/>
        </w:rPr>
        <w:t>Core Ambitions</w:t>
      </w:r>
      <w:r w:rsidR="003E40A3" w:rsidRPr="000978CF">
        <w:rPr>
          <w:rFonts w:ascii="Arial" w:hAnsi="Arial" w:cs="Arial"/>
          <w:b/>
          <w:bCs/>
          <w:color w:val="1F497D" w:themeColor="text2"/>
          <w:sz w:val="22"/>
          <w:szCs w:val="18"/>
        </w:rPr>
        <w:t>:</w:t>
      </w:r>
    </w:p>
    <w:p w14:paraId="5AA0F3DD" w14:textId="16402CC7" w:rsidR="003E40A3" w:rsidRPr="006C000B" w:rsidRDefault="003E40A3" w:rsidP="006C000B">
      <w:pPr>
        <w:pStyle w:val="ListParagraph"/>
        <w:numPr>
          <w:ilvl w:val="0"/>
          <w:numId w:val="18"/>
        </w:numPr>
        <w:jc w:val="both"/>
        <w:rPr>
          <w:rFonts w:ascii="Arial" w:hAnsi="Arial" w:cs="Arial"/>
          <w:sz w:val="22"/>
          <w:szCs w:val="18"/>
        </w:rPr>
      </w:pPr>
      <w:r w:rsidRPr="000978CF">
        <w:rPr>
          <w:rFonts w:ascii="Arial" w:hAnsi="Arial" w:cs="Arial"/>
          <w:sz w:val="22"/>
          <w:szCs w:val="18"/>
        </w:rPr>
        <w:t>Continue to develop the SPOA to support a single point of access for community-based professionals to access multiple urgent care services, embed senior clinical decision making, and introduce real time digital visibility of community capacity. Strengthen links with the Care Transfer Hub to ensure seamless flow between admission avoidance and discharge pathways.</w:t>
      </w:r>
      <w:r w:rsidRPr="006C000B">
        <w:rPr>
          <w:rFonts w:ascii="Arial" w:hAnsi="Arial" w:cs="Arial"/>
          <w:sz w:val="22"/>
          <w:szCs w:val="18"/>
        </w:rPr>
        <w:t xml:space="preserve"> </w:t>
      </w:r>
    </w:p>
    <w:p w14:paraId="371320DC" w14:textId="77777777" w:rsidR="006C000B" w:rsidRDefault="003E40A3" w:rsidP="003E40A3">
      <w:pPr>
        <w:pStyle w:val="ListParagraph"/>
        <w:numPr>
          <w:ilvl w:val="0"/>
          <w:numId w:val="18"/>
        </w:numPr>
        <w:jc w:val="both"/>
        <w:rPr>
          <w:rFonts w:ascii="Arial" w:hAnsi="Arial" w:cs="Arial"/>
          <w:sz w:val="22"/>
          <w:szCs w:val="18"/>
        </w:rPr>
      </w:pPr>
      <w:r w:rsidRPr="000978CF">
        <w:rPr>
          <w:rFonts w:ascii="Arial" w:hAnsi="Arial" w:cs="Arial"/>
          <w:sz w:val="22"/>
          <w:szCs w:val="18"/>
        </w:rPr>
        <w:t xml:space="preserve">Develop and expand the full offering of an </w:t>
      </w:r>
      <w:r w:rsidR="006C000B">
        <w:rPr>
          <w:rFonts w:ascii="Arial" w:hAnsi="Arial" w:cs="Arial"/>
          <w:sz w:val="22"/>
          <w:szCs w:val="18"/>
        </w:rPr>
        <w:t>U</w:t>
      </w:r>
      <w:r w:rsidRPr="000978CF">
        <w:rPr>
          <w:rFonts w:ascii="Arial" w:hAnsi="Arial" w:cs="Arial"/>
          <w:sz w:val="22"/>
          <w:szCs w:val="18"/>
        </w:rPr>
        <w:t xml:space="preserve">rgent </w:t>
      </w:r>
      <w:r w:rsidR="006C000B">
        <w:rPr>
          <w:rFonts w:ascii="Arial" w:hAnsi="Arial" w:cs="Arial"/>
          <w:sz w:val="22"/>
          <w:szCs w:val="18"/>
        </w:rPr>
        <w:t>C</w:t>
      </w:r>
      <w:r w:rsidRPr="000978CF">
        <w:rPr>
          <w:rFonts w:ascii="Arial" w:hAnsi="Arial" w:cs="Arial"/>
          <w:sz w:val="22"/>
          <w:szCs w:val="18"/>
        </w:rPr>
        <w:t xml:space="preserve">are </w:t>
      </w:r>
      <w:r w:rsidR="006C000B">
        <w:rPr>
          <w:rFonts w:ascii="Arial" w:hAnsi="Arial" w:cs="Arial"/>
          <w:sz w:val="22"/>
          <w:szCs w:val="18"/>
        </w:rPr>
        <w:t>R</w:t>
      </w:r>
      <w:r w:rsidRPr="000978CF">
        <w:rPr>
          <w:rFonts w:ascii="Arial" w:hAnsi="Arial" w:cs="Arial"/>
          <w:sz w:val="22"/>
          <w:szCs w:val="18"/>
        </w:rPr>
        <w:t xml:space="preserve">esponse </w:t>
      </w:r>
      <w:r w:rsidR="006C000B">
        <w:rPr>
          <w:rFonts w:ascii="Arial" w:hAnsi="Arial" w:cs="Arial"/>
          <w:sz w:val="22"/>
          <w:szCs w:val="18"/>
        </w:rPr>
        <w:t xml:space="preserve">(UCR) </w:t>
      </w:r>
      <w:r w:rsidRPr="000978CF">
        <w:rPr>
          <w:rFonts w:ascii="Arial" w:hAnsi="Arial" w:cs="Arial"/>
          <w:sz w:val="22"/>
          <w:szCs w:val="18"/>
        </w:rPr>
        <w:t xml:space="preserve">across multiple pillars of conditions and presentations with a focus on performance monitoring to meet national </w:t>
      </w:r>
      <w:proofErr w:type="gramStart"/>
      <w:r w:rsidRPr="000978CF">
        <w:rPr>
          <w:rFonts w:ascii="Arial" w:hAnsi="Arial" w:cs="Arial"/>
          <w:sz w:val="22"/>
          <w:szCs w:val="18"/>
        </w:rPr>
        <w:t>2 hour</w:t>
      </w:r>
      <w:proofErr w:type="gramEnd"/>
      <w:r w:rsidRPr="000978CF">
        <w:rPr>
          <w:rFonts w:ascii="Arial" w:hAnsi="Arial" w:cs="Arial"/>
          <w:sz w:val="22"/>
          <w:szCs w:val="18"/>
        </w:rPr>
        <w:t xml:space="preserve"> standards consistently but also the development of the clinical workforce particularly the ACP role. Strengthen integration with Home First/Reablement and Virtual Wards to support safe alternatives to admission.</w:t>
      </w:r>
    </w:p>
    <w:p w14:paraId="78DDD681" w14:textId="019094CC" w:rsidR="001D2DBC" w:rsidRPr="001D2DBC" w:rsidRDefault="003E40A3" w:rsidP="001D2DBC">
      <w:pPr>
        <w:pStyle w:val="ListParagraph"/>
        <w:numPr>
          <w:ilvl w:val="0"/>
          <w:numId w:val="18"/>
        </w:numPr>
        <w:jc w:val="both"/>
        <w:rPr>
          <w:rFonts w:ascii="Arial" w:hAnsi="Arial" w:cs="Arial"/>
          <w:sz w:val="22"/>
          <w:szCs w:val="22"/>
        </w:rPr>
      </w:pPr>
      <w:r w:rsidRPr="006C000B">
        <w:rPr>
          <w:rFonts w:ascii="Arial" w:hAnsi="Arial" w:cs="Arial"/>
          <w:sz w:val="22"/>
          <w:szCs w:val="18"/>
        </w:rPr>
        <w:t xml:space="preserve">Grow </w:t>
      </w:r>
      <w:r w:rsidR="006C000B" w:rsidRPr="006C000B">
        <w:rPr>
          <w:rFonts w:ascii="Arial" w:hAnsi="Arial" w:cs="Arial"/>
          <w:sz w:val="22"/>
          <w:szCs w:val="18"/>
        </w:rPr>
        <w:t xml:space="preserve">Virtual Ward </w:t>
      </w:r>
      <w:r w:rsidRPr="006C000B">
        <w:rPr>
          <w:rFonts w:ascii="Arial" w:hAnsi="Arial" w:cs="Arial"/>
          <w:sz w:val="22"/>
          <w:szCs w:val="18"/>
        </w:rPr>
        <w:t xml:space="preserve">capacity across priority pathways over a </w:t>
      </w:r>
      <w:proofErr w:type="gramStart"/>
      <w:r w:rsidRPr="006C000B">
        <w:rPr>
          <w:rFonts w:ascii="Arial" w:hAnsi="Arial" w:cs="Arial"/>
          <w:sz w:val="22"/>
          <w:szCs w:val="18"/>
        </w:rPr>
        <w:t>7 day</w:t>
      </w:r>
      <w:proofErr w:type="gramEnd"/>
      <w:r w:rsidRPr="006C000B">
        <w:rPr>
          <w:rFonts w:ascii="Arial" w:hAnsi="Arial" w:cs="Arial"/>
          <w:sz w:val="22"/>
          <w:szCs w:val="18"/>
        </w:rPr>
        <w:t xml:space="preserve"> period (frailty, respiratory, heart failure), enhance remote monitoring capability, and embed shared MDT oversight. Improve step up access from SPOA to reduce acute pathways and support </w:t>
      </w:r>
      <w:r w:rsidR="006C000B" w:rsidRPr="006C000B">
        <w:rPr>
          <w:rFonts w:ascii="Arial" w:hAnsi="Arial" w:cs="Arial"/>
          <w:sz w:val="22"/>
          <w:szCs w:val="18"/>
        </w:rPr>
        <w:t>home-based</w:t>
      </w:r>
      <w:r w:rsidRPr="006C000B">
        <w:rPr>
          <w:rFonts w:ascii="Arial" w:hAnsi="Arial" w:cs="Arial"/>
          <w:sz w:val="22"/>
          <w:szCs w:val="18"/>
        </w:rPr>
        <w:t xml:space="preserve"> recovery models.</w:t>
      </w:r>
    </w:p>
    <w:p w14:paraId="49A25403" w14:textId="77777777" w:rsidR="00801DE7" w:rsidRPr="00801DE7" w:rsidRDefault="00801DE7" w:rsidP="00801DE7">
      <w:pPr>
        <w:jc w:val="both"/>
        <w:rPr>
          <w:rFonts w:ascii="Arial" w:hAnsi="Arial" w:cs="Arial"/>
          <w:sz w:val="22"/>
          <w:szCs w:val="18"/>
        </w:rPr>
      </w:pPr>
    </w:p>
    <w:p w14:paraId="15F10F08" w14:textId="650AB490" w:rsidR="001D2DBC" w:rsidRPr="001D2DBC" w:rsidRDefault="33CAF54D" w:rsidP="001D2DBC">
      <w:pPr>
        <w:jc w:val="both"/>
        <w:rPr>
          <w:rFonts w:ascii="Arial" w:hAnsi="Arial" w:cs="Arial"/>
          <w:sz w:val="22"/>
          <w:szCs w:val="22"/>
        </w:rPr>
      </w:pPr>
      <w:r w:rsidRPr="768AC530">
        <w:rPr>
          <w:rFonts w:ascii="Arial" w:hAnsi="Arial" w:cs="Arial"/>
          <w:sz w:val="22"/>
          <w:szCs w:val="22"/>
        </w:rPr>
        <w:t xml:space="preserve">Additional urgent care GP slots will be commissioned via the </w:t>
      </w:r>
      <w:r w:rsidR="4456DD8B" w:rsidRPr="768AC530">
        <w:rPr>
          <w:rFonts w:ascii="Arial" w:hAnsi="Arial" w:cs="Arial"/>
          <w:sz w:val="22"/>
          <w:szCs w:val="22"/>
        </w:rPr>
        <w:t xml:space="preserve">Gloucester Health Access Centre (GHAC) </w:t>
      </w:r>
      <w:r w:rsidR="46B24411" w:rsidRPr="768AC530">
        <w:rPr>
          <w:rFonts w:ascii="Arial" w:hAnsi="Arial" w:cs="Arial"/>
          <w:sz w:val="22"/>
          <w:szCs w:val="22"/>
        </w:rPr>
        <w:t>to bolster the GP out of ours and clinical assessment services during periods of surge</w:t>
      </w:r>
      <w:r w:rsidR="269FF041" w:rsidRPr="768AC530">
        <w:rPr>
          <w:rFonts w:ascii="Arial" w:hAnsi="Arial" w:cs="Arial"/>
          <w:sz w:val="22"/>
          <w:szCs w:val="22"/>
        </w:rPr>
        <w:t>, capacity can be flexed in response</w:t>
      </w:r>
      <w:r w:rsidR="4456DD8B" w:rsidRPr="768AC530">
        <w:rPr>
          <w:rFonts w:ascii="Arial" w:hAnsi="Arial" w:cs="Arial"/>
          <w:sz w:val="22"/>
          <w:szCs w:val="22"/>
        </w:rPr>
        <w:t xml:space="preserve"> to anticipated system pressure. Building on</w:t>
      </w:r>
      <w:r w:rsidR="1E3B40FC" w:rsidRPr="768AC530">
        <w:rPr>
          <w:rFonts w:ascii="Arial" w:hAnsi="Arial" w:cs="Arial"/>
          <w:sz w:val="22"/>
          <w:szCs w:val="22"/>
        </w:rPr>
        <w:t xml:space="preserve"> </w:t>
      </w:r>
      <w:r w:rsidR="6D60E363" w:rsidRPr="768AC530">
        <w:rPr>
          <w:rFonts w:ascii="Arial" w:hAnsi="Arial" w:cs="Arial"/>
          <w:sz w:val="22"/>
          <w:szCs w:val="22"/>
        </w:rPr>
        <w:t xml:space="preserve">the </w:t>
      </w:r>
      <w:r w:rsidR="1E3B40FC" w:rsidRPr="768AC530">
        <w:rPr>
          <w:rFonts w:ascii="Arial" w:hAnsi="Arial" w:cs="Arial"/>
          <w:sz w:val="22"/>
          <w:szCs w:val="22"/>
        </w:rPr>
        <w:t>success of</w:t>
      </w:r>
      <w:r w:rsidR="4456DD8B" w:rsidRPr="768AC530">
        <w:rPr>
          <w:rFonts w:ascii="Arial" w:hAnsi="Arial" w:cs="Arial"/>
          <w:sz w:val="22"/>
          <w:szCs w:val="22"/>
        </w:rPr>
        <w:t xml:space="preserve"> the approach used during Winter 2025/26, the ICB and GHC Integrated Urgent Care Service are developing a planned annual </w:t>
      </w:r>
      <w:r w:rsidR="48D21BCE" w:rsidRPr="768AC530">
        <w:rPr>
          <w:rFonts w:ascii="Arial" w:hAnsi="Arial" w:cs="Arial"/>
          <w:sz w:val="22"/>
          <w:szCs w:val="22"/>
        </w:rPr>
        <w:t>utilisation plan for</w:t>
      </w:r>
      <w:r w:rsidR="4456DD8B" w:rsidRPr="768AC530">
        <w:rPr>
          <w:rFonts w:ascii="Arial" w:hAnsi="Arial" w:cs="Arial"/>
          <w:sz w:val="22"/>
          <w:szCs w:val="22"/>
        </w:rPr>
        <w:t xml:space="preserve"> additional GHAC capacity, informed by forecasting of demand across weekends, bank holidays and known seasonal pressure periods. The proposed model identifies additional 08:00–20:00 clinic capacity during key winter weekends and the Christmas and New Year period, with the ability to deploy further capacity in exceptional circumstances where additional support is required to relieve pressure on IUCS or the wider UEC front door.</w:t>
      </w:r>
    </w:p>
    <w:p w14:paraId="642AC4AF" w14:textId="77777777" w:rsidR="001D2DBC" w:rsidRPr="001D2DBC" w:rsidRDefault="001D2DBC" w:rsidP="001D2DBC">
      <w:pPr>
        <w:jc w:val="both"/>
        <w:rPr>
          <w:rFonts w:ascii="Arial" w:hAnsi="Arial" w:cs="Arial"/>
          <w:sz w:val="22"/>
          <w:szCs w:val="18"/>
        </w:rPr>
      </w:pPr>
    </w:p>
    <w:p w14:paraId="111C3094" w14:textId="57C855F3" w:rsidR="0076521B" w:rsidRDefault="001D2DBC" w:rsidP="001D2DBC">
      <w:pPr>
        <w:jc w:val="both"/>
        <w:rPr>
          <w:rFonts w:ascii="Arial" w:hAnsi="Arial" w:cs="Arial"/>
          <w:sz w:val="22"/>
          <w:szCs w:val="18"/>
        </w:rPr>
      </w:pPr>
      <w:r w:rsidRPr="001D2DBC">
        <w:rPr>
          <w:rFonts w:ascii="Arial" w:hAnsi="Arial" w:cs="Arial"/>
          <w:sz w:val="22"/>
          <w:szCs w:val="18"/>
        </w:rPr>
        <w:t>For 2026/27, the intention is to move further from reactive deployment of additional capacity towards a planned, intelligence-led approach, with utilisation reviewed throughout the year and clear arrangements for approval of additional winter surge capacity. The longer-term role of GHAC is also being considered alongside the development of Gloucestershire's Single Point of Clinical Access model, ensuring that short-term winter investment supports, rather than operates separately from, the wider transformation of urgent and community care.</w:t>
      </w:r>
    </w:p>
    <w:p w14:paraId="13AE48DA" w14:textId="77777777" w:rsidR="008A710A" w:rsidRPr="00DF4841" w:rsidRDefault="008A710A" w:rsidP="001D2DBC">
      <w:pPr>
        <w:jc w:val="both"/>
        <w:rPr>
          <w:rFonts w:ascii="Arial" w:hAnsi="Arial" w:cs="Arial"/>
          <w:sz w:val="22"/>
          <w:szCs w:val="18"/>
        </w:rPr>
      </w:pPr>
    </w:p>
    <w:p w14:paraId="76C26FEC" w14:textId="1E11546D" w:rsidR="00DF4841" w:rsidRPr="000530B1" w:rsidRDefault="0485C237" w:rsidP="000530B1">
      <w:pPr>
        <w:pStyle w:val="Heading3"/>
      </w:pPr>
      <w:bookmarkStart w:id="22" w:name="_Toc239682126"/>
      <w:r w:rsidRPr="768AC530">
        <w:rPr>
          <w:color w:val="1F497D" w:themeColor="text2"/>
          <w:sz w:val="28"/>
          <w:szCs w:val="28"/>
        </w:rPr>
        <w:t>Whole-System Response</w:t>
      </w:r>
      <w:bookmarkEnd w:id="22"/>
    </w:p>
    <w:p w14:paraId="340E377E" w14:textId="067C07FA" w:rsidR="00DF4841" w:rsidRPr="00DF4841" w:rsidRDefault="00DF4841" w:rsidP="768AC530"/>
    <w:p w14:paraId="1C4CA134" w14:textId="24280376" w:rsidR="00DF4841" w:rsidRPr="00DF4841" w:rsidRDefault="2CE508D1" w:rsidP="00801DE7">
      <w:pPr>
        <w:jc w:val="both"/>
      </w:pPr>
      <w:r w:rsidRPr="768AC530">
        <w:rPr>
          <w:rFonts w:ascii="Arial" w:hAnsi="Arial" w:cs="Arial"/>
          <w:sz w:val="22"/>
          <w:szCs w:val="22"/>
        </w:rPr>
        <w:t>Gloucestershire County Council’s Winter Response 2026/27 sets out a coordinated, multi</w:t>
      </w:r>
      <w:r w:rsidR="00DF4841">
        <w:noBreakHyphen/>
      </w:r>
      <w:r w:rsidRPr="768AC530">
        <w:rPr>
          <w:rFonts w:ascii="Arial" w:hAnsi="Arial" w:cs="Arial"/>
          <w:sz w:val="22"/>
          <w:szCs w:val="22"/>
        </w:rPr>
        <w:t>agency plan to protect vulnerable residents, maintain essential services, and support health and care system flow during periods of severe weather and seasonal pressure. The approach focuses on proactive outreach, targeted welfare checks, warm spaces and wellbeing hubs, enhanced crisis support, and strengthened homelessness and housing measures, alongside robust emergency planning for flooding, gritting, and major incidents. Workforce surge arrangements and joint operational cells with NHS partners ensure rapid decision</w:t>
      </w:r>
      <w:r w:rsidR="00DF4841">
        <w:noBreakHyphen/>
      </w:r>
      <w:r w:rsidRPr="768AC530">
        <w:rPr>
          <w:rFonts w:ascii="Arial" w:hAnsi="Arial" w:cs="Arial"/>
          <w:sz w:val="22"/>
          <w:szCs w:val="22"/>
        </w:rPr>
        <w:t>making and continuity of care, helping reduce avoidable admissions, improve discharge flow, and build community resilience throughout the winter period.</w:t>
      </w:r>
    </w:p>
    <w:p w14:paraId="5AB3C2F6" w14:textId="41C1AA2E" w:rsidR="768AC530" w:rsidRDefault="768AC530" w:rsidP="00801DE7">
      <w:pPr>
        <w:jc w:val="both"/>
        <w:rPr>
          <w:rFonts w:ascii="Arial" w:hAnsi="Arial" w:cs="Arial"/>
          <w:sz w:val="22"/>
          <w:szCs w:val="22"/>
        </w:rPr>
      </w:pPr>
    </w:p>
    <w:p w14:paraId="79FF0BBB" w14:textId="26EBA87B" w:rsidR="63D27601" w:rsidRDefault="63D27601" w:rsidP="00801DE7">
      <w:pPr>
        <w:jc w:val="both"/>
        <w:rPr>
          <w:rFonts w:ascii="Arial" w:hAnsi="Arial" w:cs="Arial"/>
          <w:sz w:val="22"/>
          <w:szCs w:val="22"/>
        </w:rPr>
      </w:pPr>
      <w:r w:rsidRPr="768AC530">
        <w:rPr>
          <w:rFonts w:ascii="Arial" w:hAnsi="Arial" w:cs="Arial"/>
          <w:sz w:val="22"/>
          <w:szCs w:val="22"/>
        </w:rPr>
        <w:t>The Neighbourhoods Approach for Winter 2026/27 provides a place</w:t>
      </w:r>
      <w:r>
        <w:noBreakHyphen/>
      </w:r>
      <w:r w:rsidRPr="768AC530">
        <w:rPr>
          <w:rFonts w:ascii="Arial" w:hAnsi="Arial" w:cs="Arial"/>
          <w:sz w:val="22"/>
          <w:szCs w:val="22"/>
        </w:rPr>
        <w:t xml:space="preserve">based, integrated model </w:t>
      </w:r>
      <w:r w:rsidRPr="768AC530">
        <w:rPr>
          <w:rFonts w:ascii="Arial" w:hAnsi="Arial" w:cs="Arial"/>
          <w:sz w:val="22"/>
          <w:szCs w:val="22"/>
        </w:rPr>
        <w:lastRenderedPageBreak/>
        <w:t>designed to strengthen community resilience, support vulnerable residents, and reduce pressure on statutory health and care services during periods of heightened winter demand. Operating across defined neighbourhood footprints, multi</w:t>
      </w:r>
      <w:r>
        <w:noBreakHyphen/>
      </w:r>
      <w:r w:rsidRPr="768AC530">
        <w:rPr>
          <w:rFonts w:ascii="Arial" w:hAnsi="Arial" w:cs="Arial"/>
          <w:sz w:val="22"/>
          <w:szCs w:val="22"/>
        </w:rPr>
        <w:t>agency teams (including health, social care, district councils, VCSE partners and community organisations) coordinate daily activity through local huddles, enabling proactive identification of risk, targeted outreach, and rapid deployment of practical and emotional support. The model enhances system flow by offering light</w:t>
      </w:r>
      <w:r>
        <w:noBreakHyphen/>
      </w:r>
      <w:r w:rsidRPr="768AC530">
        <w:rPr>
          <w:rFonts w:ascii="Arial" w:hAnsi="Arial" w:cs="Arial"/>
          <w:sz w:val="22"/>
          <w:szCs w:val="22"/>
        </w:rPr>
        <w:t>touch stabilisation for individuals at risk of deterioration or readmission, ensuring timely access to community</w:t>
      </w:r>
      <w:r>
        <w:noBreakHyphen/>
      </w:r>
      <w:r w:rsidRPr="768AC530">
        <w:rPr>
          <w:rFonts w:ascii="Arial" w:hAnsi="Arial" w:cs="Arial"/>
          <w:sz w:val="22"/>
          <w:szCs w:val="22"/>
        </w:rPr>
        <w:t>based support such as warm spaces, wellbeing hubs, crisis prevention pathways, and voluntary</w:t>
      </w:r>
      <w:r>
        <w:noBreakHyphen/>
      </w:r>
      <w:r w:rsidRPr="768AC530">
        <w:rPr>
          <w:rFonts w:ascii="Arial" w:hAnsi="Arial" w:cs="Arial"/>
          <w:sz w:val="22"/>
          <w:szCs w:val="22"/>
        </w:rPr>
        <w:t>sector offers. By mobilising local assets and improving shared intelligence, the approach aims to reduce avoidable escalation, maintain independence, and improve outcomes for residents while contributing to overall system resilience and performance during the winter period.</w:t>
      </w:r>
    </w:p>
    <w:p w14:paraId="33457B6D" w14:textId="5463DF4B" w:rsidR="768AC530" w:rsidRDefault="768AC530" w:rsidP="00801DE7">
      <w:pPr>
        <w:jc w:val="both"/>
        <w:rPr>
          <w:rFonts w:ascii="Arial" w:hAnsi="Arial" w:cs="Arial"/>
          <w:sz w:val="22"/>
          <w:szCs w:val="22"/>
        </w:rPr>
      </w:pPr>
    </w:p>
    <w:p w14:paraId="5075AED8" w14:textId="654E435D" w:rsidR="6BB9A5D1" w:rsidRDefault="6BB9A5D1" w:rsidP="00801DE7">
      <w:pPr>
        <w:jc w:val="both"/>
        <w:rPr>
          <w:rFonts w:ascii="Arial" w:hAnsi="Arial" w:cs="Arial"/>
          <w:sz w:val="22"/>
          <w:szCs w:val="22"/>
        </w:rPr>
      </w:pPr>
      <w:r w:rsidRPr="768AC530">
        <w:rPr>
          <w:rFonts w:ascii="Arial" w:hAnsi="Arial" w:cs="Arial"/>
          <w:sz w:val="22"/>
          <w:szCs w:val="22"/>
        </w:rPr>
        <w:t xml:space="preserve">In addition to core services Gloucestershire also works closely with the </w:t>
      </w:r>
      <w:r w:rsidR="35CDF1A4" w:rsidRPr="768AC530">
        <w:rPr>
          <w:rFonts w:ascii="Arial" w:hAnsi="Arial" w:cs="Arial"/>
          <w:sz w:val="22"/>
          <w:szCs w:val="22"/>
        </w:rPr>
        <w:t>voluntary care sector</w:t>
      </w:r>
      <w:r w:rsidRPr="768AC530">
        <w:rPr>
          <w:rFonts w:ascii="Arial" w:hAnsi="Arial" w:cs="Arial"/>
          <w:sz w:val="22"/>
          <w:szCs w:val="22"/>
        </w:rPr>
        <w:t xml:space="preserve"> alliance with direct support for discharge provided by the</w:t>
      </w:r>
      <w:r w:rsidR="750B8E68" w:rsidRPr="768AC530">
        <w:rPr>
          <w:rFonts w:ascii="Arial" w:hAnsi="Arial" w:cs="Arial"/>
          <w:sz w:val="22"/>
          <w:szCs w:val="22"/>
        </w:rPr>
        <w:t xml:space="preserve"> </w:t>
      </w:r>
      <w:r w:rsidR="0581517F" w:rsidRPr="768AC530">
        <w:rPr>
          <w:rFonts w:ascii="Arial" w:hAnsi="Arial" w:cs="Arial"/>
          <w:sz w:val="22"/>
          <w:szCs w:val="22"/>
        </w:rPr>
        <w:t>British Red Cross –</w:t>
      </w:r>
      <w:r w:rsidR="2BFA2331" w:rsidRPr="768AC530">
        <w:rPr>
          <w:rFonts w:ascii="Arial" w:hAnsi="Arial" w:cs="Arial"/>
          <w:sz w:val="22"/>
          <w:szCs w:val="22"/>
        </w:rPr>
        <w:t xml:space="preserve">First Call Offer, </w:t>
      </w:r>
      <w:r w:rsidR="2EE65274" w:rsidRPr="768AC530">
        <w:rPr>
          <w:rFonts w:ascii="Arial" w:hAnsi="Arial" w:cs="Arial"/>
          <w:sz w:val="22"/>
          <w:szCs w:val="22"/>
        </w:rPr>
        <w:t>which offers a</w:t>
      </w:r>
      <w:r w:rsidR="0581517F" w:rsidRPr="768AC530">
        <w:rPr>
          <w:rFonts w:ascii="Arial" w:hAnsi="Arial" w:cs="Arial"/>
          <w:sz w:val="22"/>
          <w:szCs w:val="22"/>
        </w:rPr>
        <w:t xml:space="preserve"> short</w:t>
      </w:r>
      <w:r>
        <w:noBreakHyphen/>
      </w:r>
      <w:r w:rsidR="0581517F" w:rsidRPr="768AC530">
        <w:rPr>
          <w:rFonts w:ascii="Arial" w:hAnsi="Arial" w:cs="Arial"/>
          <w:sz w:val="22"/>
          <w:szCs w:val="22"/>
        </w:rPr>
        <w:t>term, preventative support service that stabilises people at home after crisis or discharge, reducing avoidable demand on health and care.</w:t>
      </w:r>
    </w:p>
    <w:p w14:paraId="28EA377C" w14:textId="77777777" w:rsidR="00801DE7" w:rsidRDefault="00801DE7" w:rsidP="00801DE7">
      <w:pPr>
        <w:jc w:val="both"/>
      </w:pPr>
    </w:p>
    <w:p w14:paraId="11C04EFA" w14:textId="2EAC8B7D" w:rsidR="0EE3D600" w:rsidRDefault="0EE3D600" w:rsidP="00801DE7">
      <w:pPr>
        <w:jc w:val="both"/>
      </w:pPr>
      <w:r w:rsidRPr="768AC530">
        <w:rPr>
          <w:rFonts w:ascii="Arial" w:hAnsi="Arial" w:cs="Arial"/>
          <w:sz w:val="22"/>
          <w:szCs w:val="22"/>
        </w:rPr>
        <w:t>This service provides:</w:t>
      </w:r>
    </w:p>
    <w:p w14:paraId="4264B521" w14:textId="48534AA0" w:rsidR="0581517F" w:rsidRDefault="0581517F" w:rsidP="00801DE7">
      <w:pPr>
        <w:numPr>
          <w:ilvl w:val="0"/>
          <w:numId w:val="2"/>
        </w:numPr>
        <w:jc w:val="both"/>
        <w:rPr>
          <w:rFonts w:ascii="Arial" w:hAnsi="Arial" w:cs="Arial"/>
          <w:sz w:val="22"/>
          <w:szCs w:val="22"/>
        </w:rPr>
      </w:pPr>
      <w:r w:rsidRPr="768AC530">
        <w:rPr>
          <w:rFonts w:ascii="Arial" w:hAnsi="Arial" w:cs="Arial"/>
          <w:sz w:val="22"/>
          <w:szCs w:val="22"/>
        </w:rPr>
        <w:t>Proactive wellbeing calls to check safety and identify emerging risks.</w:t>
      </w:r>
    </w:p>
    <w:p w14:paraId="6EE0783B" w14:textId="264C2260" w:rsidR="0581517F" w:rsidRDefault="0581517F" w:rsidP="00801DE7">
      <w:pPr>
        <w:numPr>
          <w:ilvl w:val="0"/>
          <w:numId w:val="2"/>
        </w:numPr>
        <w:jc w:val="both"/>
        <w:rPr>
          <w:rFonts w:ascii="Arial" w:hAnsi="Arial" w:cs="Arial"/>
          <w:sz w:val="22"/>
          <w:szCs w:val="22"/>
        </w:rPr>
      </w:pPr>
      <w:r w:rsidRPr="768AC530">
        <w:rPr>
          <w:rFonts w:ascii="Arial" w:hAnsi="Arial" w:cs="Arial"/>
          <w:sz w:val="22"/>
          <w:szCs w:val="22"/>
        </w:rPr>
        <w:t>Light</w:t>
      </w:r>
      <w:r>
        <w:noBreakHyphen/>
      </w:r>
      <w:r w:rsidRPr="768AC530">
        <w:rPr>
          <w:rFonts w:ascii="Arial" w:hAnsi="Arial" w:cs="Arial"/>
          <w:sz w:val="22"/>
          <w:szCs w:val="22"/>
        </w:rPr>
        <w:t>touch practical help (medication collection, food access, transport).</w:t>
      </w:r>
    </w:p>
    <w:p w14:paraId="60C83919" w14:textId="3A6EF659" w:rsidR="0581517F" w:rsidRDefault="0581517F" w:rsidP="00801DE7">
      <w:pPr>
        <w:numPr>
          <w:ilvl w:val="0"/>
          <w:numId w:val="2"/>
        </w:numPr>
        <w:jc w:val="both"/>
        <w:rPr>
          <w:rFonts w:ascii="Arial" w:hAnsi="Arial" w:cs="Arial"/>
          <w:sz w:val="22"/>
          <w:szCs w:val="22"/>
        </w:rPr>
      </w:pPr>
      <w:r w:rsidRPr="768AC530">
        <w:rPr>
          <w:rFonts w:ascii="Arial" w:hAnsi="Arial" w:cs="Arial"/>
          <w:sz w:val="22"/>
          <w:szCs w:val="22"/>
        </w:rPr>
        <w:t>Emotional reassurance to reduce loneliness, anxiety, and repeat contacts.</w:t>
      </w:r>
    </w:p>
    <w:p w14:paraId="13B28137" w14:textId="074B3480" w:rsidR="0581517F" w:rsidRDefault="0581517F" w:rsidP="00801DE7">
      <w:pPr>
        <w:numPr>
          <w:ilvl w:val="0"/>
          <w:numId w:val="2"/>
        </w:numPr>
        <w:jc w:val="both"/>
        <w:rPr>
          <w:rFonts w:ascii="Arial" w:hAnsi="Arial" w:cs="Arial"/>
          <w:sz w:val="22"/>
          <w:szCs w:val="22"/>
        </w:rPr>
      </w:pPr>
      <w:r w:rsidRPr="768AC530">
        <w:rPr>
          <w:rFonts w:ascii="Arial" w:hAnsi="Arial" w:cs="Arial"/>
          <w:sz w:val="22"/>
          <w:szCs w:val="22"/>
        </w:rPr>
        <w:t>Rapid signposting into community or statutory pathways when needed.</w:t>
      </w:r>
    </w:p>
    <w:p w14:paraId="2CF0F59B" w14:textId="219E8805" w:rsidR="3ED16979" w:rsidRDefault="3ED16979" w:rsidP="00801DE7">
      <w:pPr>
        <w:jc w:val="both"/>
        <w:rPr>
          <w:rFonts w:ascii="Arial" w:hAnsi="Arial" w:cs="Arial"/>
          <w:sz w:val="22"/>
          <w:szCs w:val="22"/>
        </w:rPr>
      </w:pPr>
      <w:r w:rsidRPr="768AC530">
        <w:rPr>
          <w:rFonts w:ascii="Arial" w:hAnsi="Arial" w:cs="Arial"/>
          <w:sz w:val="22"/>
          <w:szCs w:val="22"/>
        </w:rPr>
        <w:t>The service supports p</w:t>
      </w:r>
      <w:r w:rsidR="0581517F" w:rsidRPr="768AC530">
        <w:rPr>
          <w:rFonts w:ascii="Arial" w:hAnsi="Arial" w:cs="Arial"/>
          <w:sz w:val="22"/>
          <w:szCs w:val="22"/>
        </w:rPr>
        <w:t>eople with low</w:t>
      </w:r>
      <w:r>
        <w:noBreakHyphen/>
      </w:r>
      <w:r w:rsidR="0581517F" w:rsidRPr="768AC530">
        <w:rPr>
          <w:rFonts w:ascii="Arial" w:hAnsi="Arial" w:cs="Arial"/>
          <w:sz w:val="22"/>
          <w:szCs w:val="22"/>
        </w:rPr>
        <w:t>level needs who are vulnerable, isolated, or recently discharged but do not meet criteria for formal services.</w:t>
      </w:r>
      <w:r w:rsidR="09FFD781" w:rsidRPr="768AC530">
        <w:rPr>
          <w:rFonts w:ascii="Arial" w:hAnsi="Arial" w:cs="Arial"/>
          <w:sz w:val="22"/>
          <w:szCs w:val="22"/>
        </w:rPr>
        <w:t xml:space="preserve"> Resulting in, r</w:t>
      </w:r>
      <w:r w:rsidR="4CACC905" w:rsidRPr="768AC530">
        <w:rPr>
          <w:rFonts w:ascii="Arial" w:hAnsi="Arial" w:cs="Arial"/>
          <w:sz w:val="22"/>
          <w:szCs w:val="22"/>
        </w:rPr>
        <w:t>educe</w:t>
      </w:r>
      <w:r w:rsidR="5E06172B" w:rsidRPr="768AC530">
        <w:rPr>
          <w:rFonts w:ascii="Arial" w:hAnsi="Arial" w:cs="Arial"/>
          <w:sz w:val="22"/>
          <w:szCs w:val="22"/>
        </w:rPr>
        <w:t>d</w:t>
      </w:r>
      <w:r w:rsidR="4CACC905" w:rsidRPr="768AC530">
        <w:rPr>
          <w:rFonts w:ascii="Arial" w:hAnsi="Arial" w:cs="Arial"/>
          <w:sz w:val="22"/>
          <w:szCs w:val="22"/>
        </w:rPr>
        <w:t xml:space="preserve"> unnecessary GP/999 activity by addressing non</w:t>
      </w:r>
      <w:r>
        <w:noBreakHyphen/>
      </w:r>
      <w:r w:rsidR="4CACC905" w:rsidRPr="768AC530">
        <w:rPr>
          <w:rFonts w:ascii="Arial" w:hAnsi="Arial" w:cs="Arial"/>
          <w:sz w:val="22"/>
          <w:szCs w:val="22"/>
        </w:rPr>
        <w:t>clinical issues early</w:t>
      </w:r>
      <w:r w:rsidR="0852DC9D" w:rsidRPr="768AC530">
        <w:rPr>
          <w:rFonts w:ascii="Arial" w:hAnsi="Arial" w:cs="Arial"/>
          <w:sz w:val="22"/>
          <w:szCs w:val="22"/>
        </w:rPr>
        <w:t xml:space="preserve">, </w:t>
      </w:r>
      <w:r w:rsidR="5F79ED42" w:rsidRPr="768AC530">
        <w:rPr>
          <w:rFonts w:ascii="Arial" w:hAnsi="Arial" w:cs="Arial"/>
          <w:sz w:val="22"/>
          <w:szCs w:val="22"/>
        </w:rPr>
        <w:t>supporting</w:t>
      </w:r>
      <w:r w:rsidR="4CACC905" w:rsidRPr="768AC530">
        <w:rPr>
          <w:rFonts w:ascii="Arial" w:hAnsi="Arial" w:cs="Arial"/>
          <w:sz w:val="22"/>
          <w:szCs w:val="22"/>
        </w:rPr>
        <w:t xml:space="preserve"> discharge flow by providing a safe “soft landing” at home</w:t>
      </w:r>
      <w:r w:rsidR="60EC3B39" w:rsidRPr="768AC530">
        <w:rPr>
          <w:rFonts w:ascii="Arial" w:hAnsi="Arial" w:cs="Arial"/>
          <w:sz w:val="22"/>
          <w:szCs w:val="22"/>
        </w:rPr>
        <w:t xml:space="preserve"> and </w:t>
      </w:r>
      <w:r w:rsidR="4CACC905" w:rsidRPr="768AC530">
        <w:rPr>
          <w:rFonts w:ascii="Arial" w:hAnsi="Arial" w:cs="Arial"/>
          <w:sz w:val="22"/>
          <w:szCs w:val="22"/>
        </w:rPr>
        <w:t>Improv</w:t>
      </w:r>
      <w:r w:rsidR="667BB8BA" w:rsidRPr="768AC530">
        <w:rPr>
          <w:rFonts w:ascii="Arial" w:hAnsi="Arial" w:cs="Arial"/>
          <w:sz w:val="22"/>
          <w:szCs w:val="22"/>
        </w:rPr>
        <w:t>ing</w:t>
      </w:r>
      <w:r w:rsidR="4CACC905" w:rsidRPr="768AC530">
        <w:rPr>
          <w:rFonts w:ascii="Arial" w:hAnsi="Arial" w:cs="Arial"/>
          <w:sz w:val="22"/>
          <w:szCs w:val="22"/>
        </w:rPr>
        <w:t xml:space="preserve"> patient experience and strengthen</w:t>
      </w:r>
      <w:r w:rsidR="1D0B447C" w:rsidRPr="768AC530">
        <w:rPr>
          <w:rFonts w:ascii="Arial" w:hAnsi="Arial" w:cs="Arial"/>
          <w:sz w:val="22"/>
          <w:szCs w:val="22"/>
        </w:rPr>
        <w:t>ed</w:t>
      </w:r>
      <w:r w:rsidR="4CACC905" w:rsidRPr="768AC530">
        <w:rPr>
          <w:rFonts w:ascii="Arial" w:hAnsi="Arial" w:cs="Arial"/>
          <w:sz w:val="22"/>
          <w:szCs w:val="22"/>
        </w:rPr>
        <w:t xml:space="preserve"> community resilience.</w:t>
      </w:r>
    </w:p>
    <w:p w14:paraId="2BA87176" w14:textId="77777777" w:rsidR="008C2C25" w:rsidRPr="00DF4841" w:rsidRDefault="008C2C25" w:rsidP="005013D3">
      <w:pPr>
        <w:jc w:val="both"/>
        <w:rPr>
          <w:rFonts w:ascii="Arial" w:hAnsi="Arial" w:cs="Arial"/>
          <w:sz w:val="22"/>
          <w:szCs w:val="18"/>
        </w:rPr>
      </w:pPr>
    </w:p>
    <w:p w14:paraId="6EA6CEFE" w14:textId="4F8C4EB3" w:rsidR="00DF4841" w:rsidRPr="000530B1" w:rsidRDefault="00DF4841" w:rsidP="000530B1">
      <w:pPr>
        <w:pStyle w:val="Heading3"/>
        <w:rPr>
          <w:color w:val="1F497D" w:themeColor="text2"/>
          <w:sz w:val="28"/>
          <w:szCs w:val="22"/>
        </w:rPr>
      </w:pPr>
      <w:bookmarkStart w:id="23" w:name="_Toc239682127"/>
      <w:r w:rsidRPr="000530B1">
        <w:rPr>
          <w:color w:val="1F497D" w:themeColor="text2"/>
          <w:sz w:val="28"/>
          <w:szCs w:val="22"/>
        </w:rPr>
        <w:t>Leadership, Operational Grip and Resilience</w:t>
      </w:r>
      <w:bookmarkEnd w:id="23"/>
    </w:p>
    <w:p w14:paraId="105FD3AC" w14:textId="77777777" w:rsidR="00DF4841" w:rsidRPr="00DF4841" w:rsidRDefault="00DF4841" w:rsidP="00DF4841">
      <w:pPr>
        <w:jc w:val="both"/>
        <w:rPr>
          <w:rFonts w:ascii="Arial" w:hAnsi="Arial" w:cs="Arial"/>
          <w:sz w:val="22"/>
          <w:szCs w:val="18"/>
        </w:rPr>
      </w:pPr>
    </w:p>
    <w:p w14:paraId="47482874" w14:textId="77777777" w:rsidR="00DF4841" w:rsidRPr="00DF4841" w:rsidRDefault="00DF4841" w:rsidP="00DF4841">
      <w:pPr>
        <w:jc w:val="both"/>
        <w:rPr>
          <w:rFonts w:ascii="Arial" w:hAnsi="Arial" w:cs="Arial"/>
          <w:sz w:val="22"/>
          <w:szCs w:val="18"/>
        </w:rPr>
      </w:pPr>
      <w:r w:rsidRPr="00DF4841">
        <w:rPr>
          <w:rFonts w:ascii="Arial" w:hAnsi="Arial" w:cs="Arial"/>
          <w:sz w:val="22"/>
          <w:szCs w:val="18"/>
        </w:rPr>
        <w:t>(BAS Domain 7)</w:t>
      </w:r>
    </w:p>
    <w:p w14:paraId="3644C21B" w14:textId="77777777" w:rsidR="00DF4841" w:rsidRPr="00DF4841" w:rsidRDefault="00DF4841" w:rsidP="00DF4841">
      <w:pPr>
        <w:jc w:val="both"/>
        <w:rPr>
          <w:rFonts w:ascii="Arial" w:hAnsi="Arial" w:cs="Arial"/>
          <w:sz w:val="22"/>
          <w:szCs w:val="18"/>
        </w:rPr>
      </w:pPr>
    </w:p>
    <w:p w14:paraId="247C9DEB" w14:textId="2A34AB92" w:rsidR="0019798B" w:rsidRPr="0019798B" w:rsidRDefault="4F5E0835" w:rsidP="0019798B">
      <w:pPr>
        <w:jc w:val="both"/>
      </w:pPr>
      <w:r w:rsidRPr="768AC530">
        <w:rPr>
          <w:rFonts w:ascii="Arial" w:hAnsi="Arial" w:cs="Arial"/>
          <w:sz w:val="22"/>
          <w:szCs w:val="22"/>
        </w:rPr>
        <w:t xml:space="preserve">Strong leadership, clear accountability and proportionate escalation are central to maintaining operational grip throughout winter. Gloucestershire's System Escalation Policy provides the overarching framework for recognising, communicating and responding to operational pressure, translating national Integrated OPEL requirements and </w:t>
      </w:r>
      <w:proofErr w:type="gramStart"/>
      <w:r w:rsidRPr="768AC530">
        <w:rPr>
          <w:rFonts w:ascii="Arial" w:hAnsi="Arial" w:cs="Arial"/>
          <w:sz w:val="22"/>
          <w:szCs w:val="22"/>
        </w:rPr>
        <w:t>South West</w:t>
      </w:r>
      <w:proofErr w:type="gramEnd"/>
      <w:r w:rsidRPr="768AC530">
        <w:rPr>
          <w:rFonts w:ascii="Arial" w:hAnsi="Arial" w:cs="Arial"/>
          <w:sz w:val="22"/>
          <w:szCs w:val="22"/>
        </w:rPr>
        <w:t xml:space="preserve"> regional escalation arrangements into a single local approach. </w:t>
      </w:r>
    </w:p>
    <w:p w14:paraId="5BC3011C" w14:textId="77777777" w:rsidR="0019798B" w:rsidRPr="0019798B" w:rsidRDefault="0019798B" w:rsidP="0019798B">
      <w:pPr>
        <w:jc w:val="both"/>
        <w:rPr>
          <w:rFonts w:ascii="Arial" w:hAnsi="Arial" w:cs="Arial"/>
          <w:sz w:val="22"/>
          <w:szCs w:val="18"/>
        </w:rPr>
      </w:pPr>
    </w:p>
    <w:p w14:paraId="630E669D" w14:textId="30D77044" w:rsidR="0019798B" w:rsidRPr="0019798B" w:rsidRDefault="4F5E0835" w:rsidP="0019798B">
      <w:pPr>
        <w:jc w:val="both"/>
      </w:pPr>
      <w:r w:rsidRPr="768AC530">
        <w:rPr>
          <w:rFonts w:ascii="Arial" w:hAnsi="Arial" w:cs="Arial"/>
          <w:sz w:val="22"/>
          <w:szCs w:val="22"/>
        </w:rPr>
        <w:t>Learning from Winter 2025/26 has informed a comprehensive review of the policy and associated OPEL Action Cards for 2026/27. Actions have been re</w:t>
      </w:r>
      <w:r w:rsidR="60524AA8" w:rsidRPr="768AC530">
        <w:rPr>
          <w:rFonts w:ascii="Arial" w:hAnsi="Arial" w:cs="Arial"/>
          <w:sz w:val="22"/>
          <w:szCs w:val="22"/>
        </w:rPr>
        <w:t>vised</w:t>
      </w:r>
      <w:r w:rsidRPr="768AC530">
        <w:rPr>
          <w:rFonts w:ascii="Arial" w:hAnsi="Arial" w:cs="Arial"/>
          <w:sz w:val="22"/>
          <w:szCs w:val="22"/>
        </w:rPr>
        <w:t xml:space="preserve"> to improve clarity, proportionality and whole-system accountability, with strengthened arrangements for Primary Care, Maternity and UEC Mental Health. The policy also clarifies the interface between business-as-usual OPEL escalation and formal Emergency Preparedness, Resilience and Response (EPRR) arrangements, ensuring there is a clear transition where the nature or severity of an incident requires emergency response structures to take precedence.</w:t>
      </w:r>
    </w:p>
    <w:p w14:paraId="7E0DE972" w14:textId="0FC44F19" w:rsidR="768AC530" w:rsidRDefault="768AC530" w:rsidP="768AC530">
      <w:pPr>
        <w:jc w:val="both"/>
        <w:rPr>
          <w:rFonts w:ascii="Arial" w:hAnsi="Arial" w:cs="Arial"/>
          <w:sz w:val="22"/>
          <w:szCs w:val="22"/>
        </w:rPr>
      </w:pPr>
    </w:p>
    <w:p w14:paraId="338CD6B8" w14:textId="7B379C2E" w:rsidR="77F12CFB" w:rsidRDefault="77F12CFB" w:rsidP="768AC530">
      <w:pPr>
        <w:jc w:val="both"/>
        <w:rPr>
          <w:rFonts w:ascii="Arial" w:hAnsi="Arial" w:cs="Arial"/>
          <w:sz w:val="22"/>
          <w:szCs w:val="22"/>
        </w:rPr>
      </w:pPr>
      <w:r w:rsidRPr="768AC530">
        <w:rPr>
          <w:rFonts w:ascii="Arial" w:hAnsi="Arial" w:cs="Arial"/>
          <w:sz w:val="22"/>
          <w:szCs w:val="22"/>
        </w:rPr>
        <w:t xml:space="preserve">The updated 26/27 escalation policy incorporates the Gloucestershire Primary Care OPEL Framework, the </w:t>
      </w:r>
      <w:proofErr w:type="gramStart"/>
      <w:r w:rsidRPr="768AC530">
        <w:rPr>
          <w:rFonts w:ascii="Arial" w:hAnsi="Arial" w:cs="Arial"/>
          <w:sz w:val="22"/>
          <w:szCs w:val="22"/>
        </w:rPr>
        <w:t>South West</w:t>
      </w:r>
      <w:proofErr w:type="gramEnd"/>
      <w:r w:rsidRPr="768AC530">
        <w:rPr>
          <w:rFonts w:ascii="Arial" w:hAnsi="Arial" w:cs="Arial"/>
          <w:sz w:val="22"/>
          <w:szCs w:val="22"/>
        </w:rPr>
        <w:t xml:space="preserve"> Regional Maternity Escalation Framework and locally developed UEC Mental Health Action Cards, alongside the existing national Acute, Community Health Services, Mental Health and NHS 111 OPEL pillars. </w:t>
      </w:r>
    </w:p>
    <w:p w14:paraId="37D88378" w14:textId="77777777" w:rsidR="768AC530" w:rsidRDefault="768AC530" w:rsidP="768AC530">
      <w:pPr>
        <w:jc w:val="both"/>
        <w:rPr>
          <w:rFonts w:ascii="Arial" w:hAnsi="Arial" w:cs="Arial"/>
          <w:sz w:val="22"/>
          <w:szCs w:val="22"/>
        </w:rPr>
      </w:pPr>
    </w:p>
    <w:p w14:paraId="7533A652" w14:textId="12A19A86" w:rsidR="77F12CFB" w:rsidRDefault="77F12CFB" w:rsidP="768AC530">
      <w:pPr>
        <w:jc w:val="both"/>
        <w:rPr>
          <w:rFonts w:ascii="Arial" w:hAnsi="Arial" w:cs="Arial"/>
          <w:sz w:val="22"/>
          <w:szCs w:val="22"/>
        </w:rPr>
      </w:pPr>
      <w:r w:rsidRPr="768AC530">
        <w:rPr>
          <w:rFonts w:ascii="Arial" w:hAnsi="Arial" w:cs="Arial"/>
          <w:sz w:val="22"/>
          <w:szCs w:val="22"/>
        </w:rPr>
        <w:t xml:space="preserve">The locally developed UEC Mental Health Action Cards translate regional expectations into clear actions at each escalation level and strengthen the interface between mental health and the wider UEC pathway. This will be complemented by continued development of the paediatric </w:t>
      </w:r>
      <w:r w:rsidRPr="768AC530">
        <w:rPr>
          <w:rFonts w:ascii="Arial" w:hAnsi="Arial" w:cs="Arial"/>
          <w:sz w:val="22"/>
          <w:szCs w:val="22"/>
        </w:rPr>
        <w:lastRenderedPageBreak/>
        <w:t>mental health Memorandum of Understanding, supporting clearer responsibilities and coordinated responses for children and young people requiring urgent mental health support.</w:t>
      </w:r>
    </w:p>
    <w:p w14:paraId="3808FB7C" w14:textId="77777777" w:rsidR="768AC530" w:rsidRDefault="768AC530" w:rsidP="768AC530">
      <w:pPr>
        <w:jc w:val="both"/>
        <w:rPr>
          <w:rFonts w:ascii="Arial" w:hAnsi="Arial" w:cs="Arial"/>
          <w:sz w:val="22"/>
          <w:szCs w:val="22"/>
        </w:rPr>
      </w:pPr>
    </w:p>
    <w:p w14:paraId="05C7EE57" w14:textId="0C868933" w:rsidR="77F12CFB" w:rsidRDefault="77F12CFB" w:rsidP="768AC530">
      <w:pPr>
        <w:jc w:val="both"/>
        <w:rPr>
          <w:rFonts w:ascii="Arial" w:hAnsi="Arial" w:cs="Arial"/>
          <w:sz w:val="22"/>
          <w:szCs w:val="22"/>
        </w:rPr>
      </w:pPr>
      <w:r w:rsidRPr="768AC530">
        <w:rPr>
          <w:rFonts w:ascii="Arial" w:hAnsi="Arial" w:cs="Arial"/>
          <w:sz w:val="22"/>
          <w:szCs w:val="22"/>
        </w:rPr>
        <w:t xml:space="preserve">System partners are expected to maintain aligned internal escalation arrangements, provide timely operational intelligence and senior representation when required, and implement agreed actions within their own organisations. </w:t>
      </w:r>
      <w:r w:rsidR="0D671FC5" w:rsidRPr="768AC530">
        <w:rPr>
          <w:rFonts w:ascii="Arial" w:hAnsi="Arial" w:cs="Arial"/>
          <w:sz w:val="22"/>
          <w:szCs w:val="22"/>
        </w:rPr>
        <w:t>Shared intelligence, including Integrated OPEL and SHREWD data, supports this process and enables system leaders to identify deteriorating positions early, assess cross-system consequences and deploy proportionate mitigations before pressures become critical.</w:t>
      </w:r>
    </w:p>
    <w:p w14:paraId="3A836DE7" w14:textId="77777777" w:rsidR="0019798B" w:rsidRPr="0019798B" w:rsidRDefault="0019798B" w:rsidP="0019798B">
      <w:pPr>
        <w:jc w:val="both"/>
        <w:rPr>
          <w:rFonts w:ascii="Arial" w:hAnsi="Arial" w:cs="Arial"/>
          <w:sz w:val="22"/>
          <w:szCs w:val="18"/>
        </w:rPr>
      </w:pPr>
    </w:p>
    <w:p w14:paraId="5F1BFABA" w14:textId="6DBAEBCE" w:rsidR="0019798B" w:rsidRPr="0019798B" w:rsidRDefault="4F5E0835" w:rsidP="0019798B">
      <w:pPr>
        <w:jc w:val="both"/>
        <w:rPr>
          <w:rFonts w:ascii="Arial" w:hAnsi="Arial" w:cs="Arial"/>
          <w:sz w:val="22"/>
          <w:szCs w:val="22"/>
        </w:rPr>
      </w:pPr>
      <w:r w:rsidRPr="768AC530">
        <w:rPr>
          <w:rFonts w:ascii="Arial" w:hAnsi="Arial" w:cs="Arial"/>
          <w:sz w:val="22"/>
          <w:szCs w:val="22"/>
        </w:rPr>
        <w:t xml:space="preserve">Operational grip is maintained through a tiered governance structure proportionate to the level of system pressure. The </w:t>
      </w:r>
      <w:r w:rsidR="29FAAE82" w:rsidRPr="768AC530">
        <w:rPr>
          <w:rFonts w:ascii="Arial" w:hAnsi="Arial" w:cs="Arial"/>
          <w:sz w:val="22"/>
          <w:szCs w:val="22"/>
        </w:rPr>
        <w:t>d</w:t>
      </w:r>
      <w:r w:rsidRPr="768AC530">
        <w:rPr>
          <w:rFonts w:ascii="Arial" w:hAnsi="Arial" w:cs="Arial"/>
          <w:sz w:val="22"/>
          <w:szCs w:val="22"/>
        </w:rPr>
        <w:t xml:space="preserve">aily </w:t>
      </w:r>
      <w:r w:rsidR="0CA54D60" w:rsidRPr="768AC530">
        <w:rPr>
          <w:rFonts w:ascii="Arial" w:hAnsi="Arial" w:cs="Arial"/>
          <w:sz w:val="22"/>
          <w:szCs w:val="22"/>
        </w:rPr>
        <w:t>operational</w:t>
      </w:r>
      <w:r w:rsidRPr="768AC530">
        <w:rPr>
          <w:rFonts w:ascii="Arial" w:hAnsi="Arial" w:cs="Arial"/>
          <w:sz w:val="22"/>
          <w:szCs w:val="22"/>
        </w:rPr>
        <w:t xml:space="preserve"> </w:t>
      </w:r>
      <w:r w:rsidR="634F69C9" w:rsidRPr="768AC530">
        <w:rPr>
          <w:rFonts w:ascii="Arial" w:hAnsi="Arial" w:cs="Arial"/>
          <w:sz w:val="22"/>
          <w:szCs w:val="22"/>
        </w:rPr>
        <w:t>c</w:t>
      </w:r>
      <w:r w:rsidRPr="768AC530">
        <w:rPr>
          <w:rFonts w:ascii="Arial" w:hAnsi="Arial" w:cs="Arial"/>
          <w:sz w:val="22"/>
          <w:szCs w:val="22"/>
        </w:rPr>
        <w:t xml:space="preserve">all provides routine operational oversight and real-time coordination, with emerging or persistent cross-organisational risks escalated through the System Tactical Escalation </w:t>
      </w:r>
      <w:r w:rsidR="16DB9DE0" w:rsidRPr="768AC530">
        <w:rPr>
          <w:rFonts w:ascii="Arial" w:hAnsi="Arial" w:cs="Arial"/>
          <w:sz w:val="22"/>
          <w:szCs w:val="22"/>
        </w:rPr>
        <w:t>structure</w:t>
      </w:r>
      <w:r w:rsidRPr="768AC530">
        <w:rPr>
          <w:rFonts w:ascii="Arial" w:hAnsi="Arial" w:cs="Arial"/>
          <w:sz w:val="22"/>
          <w:szCs w:val="22"/>
        </w:rPr>
        <w:t xml:space="preserve"> and, where required, the System Flow Directors Group. At OPEL 3 and 4, the cadence and seniority of oversight increases, including additional escalation calls, enhanced tactical oversight and, at OPEL 4, escalation to System Flow CEOs where required. This provides a clear route from operational identification of risk through tactical management to executive intervention.</w:t>
      </w:r>
    </w:p>
    <w:p w14:paraId="3D1303C7" w14:textId="77777777" w:rsidR="0019798B" w:rsidRPr="0019798B" w:rsidRDefault="0019798B" w:rsidP="0019798B">
      <w:pPr>
        <w:jc w:val="both"/>
        <w:rPr>
          <w:rFonts w:ascii="Arial" w:hAnsi="Arial" w:cs="Arial"/>
          <w:sz w:val="22"/>
          <w:szCs w:val="18"/>
        </w:rPr>
      </w:pPr>
    </w:p>
    <w:p w14:paraId="07B3BC27" w14:textId="29F46BB7" w:rsidR="00006844" w:rsidRDefault="4F5E0835" w:rsidP="0019798B">
      <w:pPr>
        <w:jc w:val="both"/>
      </w:pPr>
      <w:r w:rsidRPr="768AC530">
        <w:rPr>
          <w:rFonts w:ascii="Arial" w:hAnsi="Arial" w:cs="Arial"/>
          <w:sz w:val="22"/>
          <w:szCs w:val="22"/>
        </w:rPr>
        <w:t xml:space="preserve">The governance model itself will continue to evolve during 2026/27. Work is underway through the Gloucestershire Provider Partnership to determine the future leadership and coordination model for system flow and escalation, including ownership, chairing, meeting cadence and escalation routes. </w:t>
      </w:r>
    </w:p>
    <w:p w14:paraId="7388AF97" w14:textId="77777777" w:rsidR="0019798B" w:rsidRPr="00DF4841" w:rsidRDefault="0019798B" w:rsidP="0019798B">
      <w:pPr>
        <w:jc w:val="both"/>
        <w:rPr>
          <w:rFonts w:ascii="Arial" w:hAnsi="Arial" w:cs="Arial"/>
          <w:sz w:val="22"/>
          <w:szCs w:val="18"/>
        </w:rPr>
      </w:pPr>
    </w:p>
    <w:p w14:paraId="6976ABD7" w14:textId="74CC186C" w:rsidR="00DF4841" w:rsidRPr="000530B1" w:rsidRDefault="00DF4841" w:rsidP="000530B1">
      <w:pPr>
        <w:pStyle w:val="Heading3"/>
        <w:rPr>
          <w:color w:val="1F497D" w:themeColor="text2"/>
          <w:sz w:val="28"/>
          <w:szCs w:val="22"/>
        </w:rPr>
      </w:pPr>
      <w:bookmarkStart w:id="24" w:name="_Toc239682128"/>
      <w:r w:rsidRPr="000530B1">
        <w:rPr>
          <w:color w:val="1F497D" w:themeColor="text2"/>
          <w:sz w:val="28"/>
          <w:szCs w:val="22"/>
        </w:rPr>
        <w:t>System Coordination Centre</w:t>
      </w:r>
      <w:bookmarkEnd w:id="24"/>
    </w:p>
    <w:p w14:paraId="08AB4D6C" w14:textId="77777777" w:rsidR="00DF4841" w:rsidRPr="00DF4841" w:rsidRDefault="00DF4841" w:rsidP="00DF4841">
      <w:pPr>
        <w:jc w:val="both"/>
        <w:rPr>
          <w:rFonts w:ascii="Arial" w:hAnsi="Arial" w:cs="Arial"/>
          <w:sz w:val="22"/>
          <w:szCs w:val="18"/>
        </w:rPr>
      </w:pPr>
    </w:p>
    <w:p w14:paraId="2EC5D472" w14:textId="77777777" w:rsidR="00DF4841" w:rsidRPr="00DF4841" w:rsidRDefault="00DF4841" w:rsidP="00DF4841">
      <w:pPr>
        <w:jc w:val="both"/>
        <w:rPr>
          <w:rFonts w:ascii="Arial" w:hAnsi="Arial" w:cs="Arial"/>
          <w:sz w:val="22"/>
          <w:szCs w:val="18"/>
        </w:rPr>
      </w:pPr>
      <w:r w:rsidRPr="00DF4841">
        <w:rPr>
          <w:rFonts w:ascii="Arial" w:hAnsi="Arial" w:cs="Arial"/>
          <w:sz w:val="22"/>
          <w:szCs w:val="18"/>
        </w:rPr>
        <w:t>(BAS Domain 8)</w:t>
      </w:r>
    </w:p>
    <w:p w14:paraId="7673D355" w14:textId="77777777" w:rsidR="00DF4841" w:rsidRDefault="00DF4841" w:rsidP="00DF4841">
      <w:pPr>
        <w:jc w:val="both"/>
        <w:rPr>
          <w:rFonts w:ascii="Arial" w:hAnsi="Arial" w:cs="Arial"/>
          <w:sz w:val="22"/>
          <w:szCs w:val="18"/>
        </w:rPr>
      </w:pPr>
    </w:p>
    <w:p w14:paraId="54AE9BEB" w14:textId="77777777" w:rsidR="00E13980" w:rsidRPr="00E13980" w:rsidRDefault="00E13980" w:rsidP="00E13980">
      <w:pPr>
        <w:jc w:val="both"/>
        <w:rPr>
          <w:rFonts w:ascii="Arial" w:hAnsi="Arial" w:cs="Arial"/>
          <w:sz w:val="22"/>
          <w:szCs w:val="18"/>
        </w:rPr>
      </w:pPr>
      <w:r w:rsidRPr="00E13980">
        <w:rPr>
          <w:rFonts w:ascii="Arial" w:hAnsi="Arial" w:cs="Arial"/>
          <w:sz w:val="22"/>
          <w:szCs w:val="18"/>
        </w:rPr>
        <w:t xml:space="preserve">The Gloucestershire System Co-ordination Centre (SCC) will continue to provide the operational coordination function for the Integrated Care System throughout Winter 2026/27, maintaining whole-system situational awareness and supporting timely, evidence-based </w:t>
      </w:r>
      <w:proofErr w:type="gramStart"/>
      <w:r w:rsidRPr="00E13980">
        <w:rPr>
          <w:rFonts w:ascii="Arial" w:hAnsi="Arial" w:cs="Arial"/>
          <w:sz w:val="22"/>
          <w:szCs w:val="18"/>
        </w:rPr>
        <w:t>decision making</w:t>
      </w:r>
      <w:proofErr w:type="gramEnd"/>
      <w:r w:rsidRPr="00E13980">
        <w:rPr>
          <w:rFonts w:ascii="Arial" w:hAnsi="Arial" w:cs="Arial"/>
          <w:sz w:val="22"/>
          <w:szCs w:val="18"/>
        </w:rPr>
        <w:t xml:space="preserve"> during periods of increased pressure. </w:t>
      </w:r>
    </w:p>
    <w:p w14:paraId="10CF5CC5" w14:textId="77777777" w:rsidR="00E13980" w:rsidRPr="00E13980" w:rsidRDefault="00E13980" w:rsidP="00E13980">
      <w:pPr>
        <w:jc w:val="both"/>
        <w:rPr>
          <w:rFonts w:ascii="Arial" w:hAnsi="Arial" w:cs="Arial"/>
          <w:sz w:val="22"/>
          <w:szCs w:val="18"/>
        </w:rPr>
      </w:pPr>
    </w:p>
    <w:p w14:paraId="7E26B539" w14:textId="77777777" w:rsidR="00E13980" w:rsidRPr="00E13980" w:rsidRDefault="00E13980" w:rsidP="00E13980">
      <w:pPr>
        <w:jc w:val="both"/>
        <w:rPr>
          <w:rFonts w:ascii="Arial" w:hAnsi="Arial" w:cs="Arial"/>
          <w:sz w:val="22"/>
          <w:szCs w:val="18"/>
        </w:rPr>
      </w:pPr>
      <w:r w:rsidRPr="00E13980">
        <w:rPr>
          <w:rFonts w:ascii="Arial" w:hAnsi="Arial" w:cs="Arial"/>
          <w:sz w:val="22"/>
          <w:szCs w:val="18"/>
        </w:rPr>
        <w:t xml:space="preserve">Building upon the successful use of provider predictor data during previous winters, Gloucestershire will further enhance its operational intelligence through investment in SHREWD reporting and predictive analytics. The introduction of real-time dashboards and Integrated OPEL forecasting will strengthen visibility of demand, capacity, patient flow and emerging risks across the system, enabling earlier intervention and supporting Tactical Escalation Group (TEG) decision-making. </w:t>
      </w:r>
    </w:p>
    <w:p w14:paraId="5259785A" w14:textId="182A6117" w:rsidR="00E13980" w:rsidRPr="00E13980" w:rsidRDefault="00E13980" w:rsidP="00E13980">
      <w:pPr>
        <w:jc w:val="both"/>
        <w:rPr>
          <w:rFonts w:ascii="Arial" w:hAnsi="Arial" w:cs="Arial"/>
          <w:sz w:val="22"/>
          <w:szCs w:val="18"/>
        </w:rPr>
      </w:pPr>
    </w:p>
    <w:p w14:paraId="19008E21" w14:textId="4D6B052A" w:rsidR="00E13980" w:rsidRDefault="00E13980" w:rsidP="00E13980">
      <w:pPr>
        <w:jc w:val="both"/>
        <w:rPr>
          <w:rFonts w:ascii="Arial" w:hAnsi="Arial" w:cs="Arial"/>
          <w:sz w:val="22"/>
          <w:szCs w:val="18"/>
        </w:rPr>
      </w:pPr>
      <w:r w:rsidRPr="00E13980">
        <w:rPr>
          <w:rFonts w:ascii="Arial" w:hAnsi="Arial" w:cs="Arial"/>
          <w:sz w:val="22"/>
          <w:szCs w:val="18"/>
        </w:rPr>
        <w:t xml:space="preserve">In line with the </w:t>
      </w:r>
      <w:proofErr w:type="gramStart"/>
      <w:r w:rsidRPr="00E13980">
        <w:rPr>
          <w:rFonts w:ascii="Arial" w:hAnsi="Arial" w:cs="Arial"/>
          <w:sz w:val="22"/>
          <w:szCs w:val="18"/>
        </w:rPr>
        <w:t>South West</w:t>
      </w:r>
      <w:proofErr w:type="gramEnd"/>
      <w:r w:rsidRPr="00E13980">
        <w:rPr>
          <w:rFonts w:ascii="Arial" w:hAnsi="Arial" w:cs="Arial"/>
          <w:sz w:val="22"/>
          <w:szCs w:val="18"/>
        </w:rPr>
        <w:t xml:space="preserve"> cluster approach to winter planning, Gloucestershire will continue to work collaboratively with neighbouring ICBs to share intelligence, align assurance processes and adopt best practice, whilst maintaining a place-based approach to operational leadership through the Gloucestershire SCC. Together, SHREWD, Integrated OPEL, system intelligence and coordinated governance will provide the ICB with a comprehensive oversight framework to assure delivery throughout Winter 2026/27.</w:t>
      </w:r>
    </w:p>
    <w:p w14:paraId="0C538A02" w14:textId="77777777" w:rsidR="00E13980" w:rsidRPr="00DF4841" w:rsidRDefault="00E13980" w:rsidP="00DF4841">
      <w:pPr>
        <w:jc w:val="both"/>
        <w:rPr>
          <w:rFonts w:ascii="Arial" w:hAnsi="Arial" w:cs="Arial"/>
          <w:sz w:val="22"/>
          <w:szCs w:val="18"/>
        </w:rPr>
      </w:pPr>
    </w:p>
    <w:p w14:paraId="7D5D4374" w14:textId="77777777" w:rsidR="007947EE" w:rsidRDefault="007947EE" w:rsidP="007947EE"/>
    <w:p w14:paraId="43E718C2" w14:textId="77777777" w:rsidR="00584E80" w:rsidRDefault="00584E80">
      <w:pPr>
        <w:widowControl/>
        <w:rPr>
          <w:rFonts w:ascii="Arial" w:hAnsi="Arial"/>
          <w:b/>
          <w:color w:val="1F497D" w:themeColor="text2"/>
          <w:sz w:val="32"/>
          <w:szCs w:val="22"/>
          <w:lang w:val="en-US"/>
        </w:rPr>
      </w:pPr>
      <w:r>
        <w:rPr>
          <w:lang w:val="en-US"/>
        </w:rPr>
        <w:br w:type="page"/>
      </w:r>
    </w:p>
    <w:p w14:paraId="4757AC09" w14:textId="24615E6D" w:rsidR="001213E7" w:rsidRDefault="00412074" w:rsidP="001213E7">
      <w:pPr>
        <w:pStyle w:val="PolicyHeading"/>
        <w:rPr>
          <w:lang w:val="en-US"/>
        </w:rPr>
      </w:pPr>
      <w:bookmarkStart w:id="25" w:name="_Toc239682129"/>
      <w:r>
        <w:rPr>
          <w:lang w:val="en-US"/>
        </w:rPr>
        <w:lastRenderedPageBreak/>
        <w:t>Communications Plan</w:t>
      </w:r>
      <w:bookmarkEnd w:id="25"/>
    </w:p>
    <w:p w14:paraId="60BACF68"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The Gloucestershire winter communications </w:t>
      </w:r>
      <w:proofErr w:type="spellStart"/>
      <w:r w:rsidRPr="001213E7">
        <w:rPr>
          <w:rFonts w:ascii="Arial" w:hAnsi="Arial" w:cs="Arial"/>
          <w:sz w:val="22"/>
          <w:szCs w:val="22"/>
          <w:lang w:val="en-US"/>
        </w:rPr>
        <w:t>programme</w:t>
      </w:r>
      <w:proofErr w:type="spellEnd"/>
      <w:r w:rsidRPr="001213E7">
        <w:rPr>
          <w:rFonts w:ascii="Arial" w:hAnsi="Arial" w:cs="Arial"/>
          <w:sz w:val="22"/>
          <w:szCs w:val="22"/>
          <w:lang w:val="en-US"/>
        </w:rPr>
        <w:t xml:space="preserve"> will support delivery of the Gloucestershire Winter Plan by helping people stay well, promoting uptake of priority vaccination </w:t>
      </w:r>
      <w:proofErr w:type="spellStart"/>
      <w:r w:rsidRPr="001213E7">
        <w:rPr>
          <w:rFonts w:ascii="Arial" w:hAnsi="Arial" w:cs="Arial"/>
          <w:sz w:val="22"/>
          <w:szCs w:val="22"/>
          <w:lang w:val="en-US"/>
        </w:rPr>
        <w:t>programmes</w:t>
      </w:r>
      <w:proofErr w:type="spellEnd"/>
      <w:r w:rsidRPr="001213E7">
        <w:rPr>
          <w:rFonts w:ascii="Arial" w:hAnsi="Arial" w:cs="Arial"/>
          <w:sz w:val="22"/>
          <w:szCs w:val="22"/>
          <w:lang w:val="en-US"/>
        </w:rPr>
        <w:t xml:space="preserve">, reducing avoidable demand on health and care services and supporting effective access to care throughout the winter period. Communications activity will be informed by audience insight, business intelligence and learning from previous campaigns, with channels and tactics selected to best reach priority audiences and communities. The </w:t>
      </w:r>
      <w:proofErr w:type="spellStart"/>
      <w:r w:rsidRPr="001213E7">
        <w:rPr>
          <w:rFonts w:ascii="Arial" w:hAnsi="Arial" w:cs="Arial"/>
          <w:sz w:val="22"/>
          <w:szCs w:val="22"/>
          <w:lang w:val="en-US"/>
        </w:rPr>
        <w:t>programme</w:t>
      </w:r>
      <w:proofErr w:type="spellEnd"/>
      <w:r w:rsidRPr="001213E7">
        <w:rPr>
          <w:rFonts w:ascii="Arial" w:hAnsi="Arial" w:cs="Arial"/>
          <w:sz w:val="22"/>
          <w:szCs w:val="22"/>
          <w:lang w:val="en-US"/>
        </w:rPr>
        <w:t xml:space="preserve"> will make use of national and regional campaign assets where appropriate, supplemented by locally developed communications to reflect Gloucestershire services, priorities and population needs. </w:t>
      </w:r>
    </w:p>
    <w:p w14:paraId="495DB0C0" w14:textId="77777777" w:rsidR="002E3695" w:rsidRPr="001213E7" w:rsidRDefault="002E3695" w:rsidP="001213E7">
      <w:pPr>
        <w:jc w:val="both"/>
        <w:rPr>
          <w:rFonts w:ascii="Arial" w:hAnsi="Arial" w:cs="Arial"/>
          <w:sz w:val="22"/>
          <w:szCs w:val="22"/>
          <w:lang w:val="en-US"/>
        </w:rPr>
      </w:pPr>
    </w:p>
    <w:p w14:paraId="79B39FEB"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Communications activity will be developed collaboratively with BNSSG colleagues to </w:t>
      </w:r>
      <w:proofErr w:type="spellStart"/>
      <w:r w:rsidRPr="001213E7">
        <w:rPr>
          <w:rFonts w:ascii="Arial" w:hAnsi="Arial" w:cs="Arial"/>
          <w:sz w:val="22"/>
          <w:szCs w:val="22"/>
          <w:lang w:val="en-US"/>
        </w:rPr>
        <w:t>maximise</w:t>
      </w:r>
      <w:proofErr w:type="spellEnd"/>
      <w:r w:rsidRPr="001213E7">
        <w:rPr>
          <w:rFonts w:ascii="Arial" w:hAnsi="Arial" w:cs="Arial"/>
          <w:sz w:val="22"/>
          <w:szCs w:val="22"/>
          <w:lang w:val="en-US"/>
        </w:rPr>
        <w:t xml:space="preserve"> efficiency, reduce duplication and support greater consistency of messaging across the wider system. This will include sharing insight, campaign assets, learning and evaluation approaches, while retaining flexibility to reflect local service models, operational priorities and audience needs. </w:t>
      </w:r>
    </w:p>
    <w:p w14:paraId="0B2D2769" w14:textId="77777777" w:rsidR="002E3695" w:rsidRPr="001213E7" w:rsidRDefault="002E3695" w:rsidP="001213E7">
      <w:pPr>
        <w:jc w:val="both"/>
        <w:rPr>
          <w:rFonts w:ascii="Arial" w:hAnsi="Arial" w:cs="Arial"/>
          <w:sz w:val="22"/>
          <w:szCs w:val="22"/>
          <w:lang w:val="en-US"/>
        </w:rPr>
      </w:pPr>
    </w:p>
    <w:p w14:paraId="7B0B0416"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In addition to vaccination, prevention and urgent care campaigns, the wider winter communications </w:t>
      </w:r>
      <w:proofErr w:type="spellStart"/>
      <w:r w:rsidRPr="001213E7">
        <w:rPr>
          <w:rFonts w:ascii="Arial" w:hAnsi="Arial" w:cs="Arial"/>
          <w:sz w:val="22"/>
          <w:szCs w:val="22"/>
          <w:lang w:val="en-US"/>
        </w:rPr>
        <w:t>programme</w:t>
      </w:r>
      <w:proofErr w:type="spellEnd"/>
      <w:r w:rsidRPr="001213E7">
        <w:rPr>
          <w:rFonts w:ascii="Arial" w:hAnsi="Arial" w:cs="Arial"/>
          <w:sz w:val="22"/>
          <w:szCs w:val="22"/>
          <w:lang w:val="en-US"/>
        </w:rPr>
        <w:t xml:space="preserve"> will support infection prevention and control, timely discharge and recovery at home, and system readiness during periods of heightened operational pressure. This includes public-facing infection prevention messaging, support for trust-led discharge communications and coordinated stakeholder, public and media communications throughout the winter period. </w:t>
      </w:r>
    </w:p>
    <w:p w14:paraId="64FD573B" w14:textId="77777777" w:rsidR="002E3695" w:rsidRPr="001213E7" w:rsidRDefault="002E3695" w:rsidP="001213E7">
      <w:pPr>
        <w:jc w:val="both"/>
        <w:rPr>
          <w:rFonts w:ascii="Arial" w:hAnsi="Arial" w:cs="Arial"/>
          <w:sz w:val="22"/>
          <w:szCs w:val="22"/>
          <w:lang w:val="en-US"/>
        </w:rPr>
      </w:pPr>
    </w:p>
    <w:p w14:paraId="09353AE2" w14:textId="73C12FD8" w:rsidR="006B3A09" w:rsidRDefault="001213E7" w:rsidP="0047594D">
      <w:pPr>
        <w:pStyle w:val="Heading3"/>
        <w:rPr>
          <w:color w:val="1F497D" w:themeColor="text2"/>
          <w:lang w:val="en-US"/>
        </w:rPr>
      </w:pPr>
      <w:bookmarkStart w:id="26" w:name="_Toc239682130"/>
      <w:r w:rsidRPr="006B3A09">
        <w:rPr>
          <w:color w:val="1F497D" w:themeColor="text2"/>
          <w:lang w:val="en-US"/>
        </w:rPr>
        <w:t xml:space="preserve">Access to priority vaccination </w:t>
      </w:r>
      <w:proofErr w:type="spellStart"/>
      <w:r w:rsidRPr="006B3A09">
        <w:rPr>
          <w:color w:val="1F497D" w:themeColor="text2"/>
          <w:lang w:val="en-US"/>
        </w:rPr>
        <w:t>programmes</w:t>
      </w:r>
      <w:proofErr w:type="spellEnd"/>
      <w:r w:rsidRPr="006B3A09">
        <w:rPr>
          <w:color w:val="1F497D" w:themeColor="text2"/>
          <w:lang w:val="en-US"/>
        </w:rPr>
        <w:t xml:space="preserve"> incl</w:t>
      </w:r>
      <w:r w:rsidR="006222E8">
        <w:rPr>
          <w:color w:val="1F497D" w:themeColor="text2"/>
          <w:lang w:val="en-US"/>
        </w:rPr>
        <w:t>.</w:t>
      </w:r>
      <w:r w:rsidRPr="006B3A09">
        <w:rPr>
          <w:color w:val="1F497D" w:themeColor="text2"/>
          <w:lang w:val="en-US"/>
        </w:rPr>
        <w:t xml:space="preserve"> annual flu and C-19 campaigns</w:t>
      </w:r>
      <w:bookmarkEnd w:id="26"/>
    </w:p>
    <w:p w14:paraId="1D9DCF4A" w14:textId="77777777" w:rsidR="006222E8" w:rsidRPr="006222E8" w:rsidRDefault="006222E8" w:rsidP="006222E8">
      <w:pPr>
        <w:rPr>
          <w:lang w:val="en-US"/>
        </w:rPr>
      </w:pPr>
    </w:p>
    <w:p w14:paraId="1413193A"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The ICB will deliver a multi-channel vaccination communications </w:t>
      </w:r>
      <w:proofErr w:type="spellStart"/>
      <w:r w:rsidRPr="001213E7">
        <w:rPr>
          <w:rFonts w:ascii="Arial" w:hAnsi="Arial" w:cs="Arial"/>
          <w:sz w:val="22"/>
          <w:szCs w:val="22"/>
          <w:lang w:val="en-US"/>
        </w:rPr>
        <w:t>programme</w:t>
      </w:r>
      <w:proofErr w:type="spellEnd"/>
      <w:r w:rsidRPr="001213E7">
        <w:rPr>
          <w:rFonts w:ascii="Arial" w:hAnsi="Arial" w:cs="Arial"/>
          <w:sz w:val="22"/>
          <w:szCs w:val="22"/>
          <w:lang w:val="en-US"/>
        </w:rPr>
        <w:t xml:space="preserve"> to support uptake of flu, Covid-19 and other priority vaccination </w:t>
      </w:r>
      <w:proofErr w:type="spellStart"/>
      <w:r w:rsidRPr="001213E7">
        <w:rPr>
          <w:rFonts w:ascii="Arial" w:hAnsi="Arial" w:cs="Arial"/>
          <w:sz w:val="22"/>
          <w:szCs w:val="22"/>
          <w:lang w:val="en-US"/>
        </w:rPr>
        <w:t>programmes</w:t>
      </w:r>
      <w:proofErr w:type="spellEnd"/>
      <w:r w:rsidRPr="001213E7">
        <w:rPr>
          <w:rFonts w:ascii="Arial" w:hAnsi="Arial" w:cs="Arial"/>
          <w:sz w:val="22"/>
          <w:szCs w:val="22"/>
          <w:lang w:val="en-US"/>
        </w:rPr>
        <w:t xml:space="preserve"> among eligible groups and priority cohorts identified through vaccination </w:t>
      </w:r>
      <w:proofErr w:type="spellStart"/>
      <w:r w:rsidRPr="001213E7">
        <w:rPr>
          <w:rFonts w:ascii="Arial" w:hAnsi="Arial" w:cs="Arial"/>
          <w:sz w:val="22"/>
          <w:szCs w:val="22"/>
          <w:lang w:val="en-US"/>
        </w:rPr>
        <w:t>programme</w:t>
      </w:r>
      <w:proofErr w:type="spellEnd"/>
      <w:r w:rsidRPr="001213E7">
        <w:rPr>
          <w:rFonts w:ascii="Arial" w:hAnsi="Arial" w:cs="Arial"/>
          <w:sz w:val="22"/>
          <w:szCs w:val="22"/>
          <w:lang w:val="en-US"/>
        </w:rPr>
        <w:t xml:space="preserve"> intelligence.</w:t>
      </w:r>
    </w:p>
    <w:p w14:paraId="487F189A" w14:textId="77777777" w:rsidR="006B3A09" w:rsidRPr="001213E7" w:rsidRDefault="006B3A09" w:rsidP="001213E7">
      <w:pPr>
        <w:jc w:val="both"/>
        <w:rPr>
          <w:rFonts w:ascii="Arial" w:hAnsi="Arial" w:cs="Arial"/>
          <w:sz w:val="22"/>
          <w:szCs w:val="22"/>
          <w:lang w:val="en-US"/>
        </w:rPr>
      </w:pPr>
    </w:p>
    <w:p w14:paraId="3BBB75F3"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Campaign activity will be developed in partnership with system vaccination leads and delivery partners and will seek to align with BNSSG activity where appropriate, enabling shared use of insight, messaging and campaign assets. Communications will be informed by uptake data and audience insight, with targeted activity focused on communities and groups where uptake is lower. Delivery will </w:t>
      </w:r>
      <w:proofErr w:type="spellStart"/>
      <w:r w:rsidRPr="001213E7">
        <w:rPr>
          <w:rFonts w:ascii="Arial" w:hAnsi="Arial" w:cs="Arial"/>
          <w:sz w:val="22"/>
          <w:szCs w:val="22"/>
          <w:lang w:val="en-US"/>
        </w:rPr>
        <w:t>utilise</w:t>
      </w:r>
      <w:proofErr w:type="spellEnd"/>
      <w:r w:rsidRPr="001213E7">
        <w:rPr>
          <w:rFonts w:ascii="Arial" w:hAnsi="Arial" w:cs="Arial"/>
          <w:sz w:val="22"/>
          <w:szCs w:val="22"/>
          <w:lang w:val="en-US"/>
        </w:rPr>
        <w:t xml:space="preserve"> a combination of NHS-owned channels, partner networks, stakeholder communications, media activity and targeted advertising where appropriate. </w:t>
      </w:r>
    </w:p>
    <w:p w14:paraId="1E518525" w14:textId="77777777" w:rsidR="006B3A09" w:rsidRPr="001213E7" w:rsidRDefault="006B3A09" w:rsidP="001213E7">
      <w:pPr>
        <w:jc w:val="both"/>
        <w:rPr>
          <w:rFonts w:ascii="Arial" w:hAnsi="Arial" w:cs="Arial"/>
          <w:sz w:val="22"/>
          <w:szCs w:val="22"/>
          <w:lang w:val="en-US"/>
        </w:rPr>
      </w:pPr>
    </w:p>
    <w:p w14:paraId="60AF5F97" w14:textId="1EC931FC" w:rsidR="006B3A09" w:rsidRDefault="001213E7" w:rsidP="0047594D">
      <w:pPr>
        <w:pStyle w:val="Heading3"/>
        <w:rPr>
          <w:color w:val="1F497D" w:themeColor="text2"/>
          <w:lang w:val="en-US"/>
        </w:rPr>
      </w:pPr>
      <w:bookmarkStart w:id="27" w:name="_Toc239682131"/>
      <w:r w:rsidRPr="006B3A09">
        <w:rPr>
          <w:color w:val="1F497D" w:themeColor="text2"/>
          <w:lang w:val="en-US"/>
        </w:rPr>
        <w:t>Reduction of avoidable admissions among vulnerable groups</w:t>
      </w:r>
      <w:bookmarkEnd w:id="27"/>
    </w:p>
    <w:p w14:paraId="2F783875" w14:textId="77777777" w:rsidR="006222E8" w:rsidRPr="006222E8" w:rsidRDefault="006222E8" w:rsidP="006222E8">
      <w:pPr>
        <w:rPr>
          <w:lang w:val="en-US"/>
        </w:rPr>
      </w:pPr>
    </w:p>
    <w:p w14:paraId="63037D0B"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The ICB will build on the established Stay Well This Winter campaign, supporting people most at risk of winter-related illness to take practical steps to stay healthy and seek support early.</w:t>
      </w:r>
    </w:p>
    <w:p w14:paraId="13E60453" w14:textId="77777777" w:rsidR="006222E8" w:rsidRPr="001213E7" w:rsidRDefault="006222E8" w:rsidP="001213E7">
      <w:pPr>
        <w:jc w:val="both"/>
        <w:rPr>
          <w:rFonts w:ascii="Arial" w:hAnsi="Arial" w:cs="Arial"/>
          <w:sz w:val="22"/>
          <w:szCs w:val="22"/>
          <w:lang w:val="en-US"/>
        </w:rPr>
      </w:pPr>
    </w:p>
    <w:p w14:paraId="17E0F19B" w14:textId="77777777" w:rsidR="001213E7" w:rsidRDefault="001213E7" w:rsidP="001213E7">
      <w:pPr>
        <w:jc w:val="both"/>
        <w:rPr>
          <w:rFonts w:ascii="Arial" w:hAnsi="Arial" w:cs="Arial"/>
          <w:sz w:val="22"/>
          <w:szCs w:val="22"/>
          <w:lang w:val="en-US"/>
        </w:rPr>
      </w:pPr>
      <w:r w:rsidRPr="001213E7">
        <w:rPr>
          <w:rFonts w:ascii="Arial" w:hAnsi="Arial" w:cs="Arial"/>
          <w:sz w:val="22"/>
          <w:szCs w:val="22"/>
          <w:lang w:val="en-US"/>
        </w:rPr>
        <w:t xml:space="preserve">The campaign will focus particularly on older adults, people with long-term health conditions and those at greater risk of serious illness from winter viruses. Communications will promote preventative actions such as staying warm, staying active, eating well, maintaining wellbeing and seeking advice promptly when unwell. Activity will be developed with local authority public health teams, NHS </w:t>
      </w:r>
      <w:proofErr w:type="spellStart"/>
      <w:r w:rsidRPr="001213E7">
        <w:rPr>
          <w:rFonts w:ascii="Arial" w:hAnsi="Arial" w:cs="Arial"/>
          <w:sz w:val="22"/>
          <w:szCs w:val="22"/>
          <w:lang w:val="en-US"/>
        </w:rPr>
        <w:t>organisations</w:t>
      </w:r>
      <w:proofErr w:type="spellEnd"/>
      <w:r w:rsidRPr="001213E7">
        <w:rPr>
          <w:rFonts w:ascii="Arial" w:hAnsi="Arial" w:cs="Arial"/>
          <w:sz w:val="22"/>
          <w:szCs w:val="22"/>
          <w:lang w:val="en-US"/>
        </w:rPr>
        <w:t xml:space="preserve"> and VCSE partners and, where appropriate, aligned with BNSSG winter wellbeing activity to support a consistent prevention-focused approach across the wider system. Audiences, messaging and channels will be informed by business intelligence, audience insight and learning from previous winter campaigns. </w:t>
      </w:r>
    </w:p>
    <w:p w14:paraId="6BDA6A19" w14:textId="77777777" w:rsidR="006B3A09" w:rsidRPr="001213E7" w:rsidRDefault="006B3A09" w:rsidP="001213E7">
      <w:pPr>
        <w:jc w:val="both"/>
        <w:rPr>
          <w:rFonts w:ascii="Arial" w:hAnsi="Arial" w:cs="Arial"/>
          <w:sz w:val="22"/>
          <w:szCs w:val="22"/>
          <w:lang w:val="en-US"/>
        </w:rPr>
      </w:pPr>
    </w:p>
    <w:p w14:paraId="6D1298C1" w14:textId="77777777" w:rsidR="006222E8" w:rsidRDefault="006222E8">
      <w:pPr>
        <w:widowControl/>
        <w:rPr>
          <w:rFonts w:ascii="Arial" w:hAnsi="Arial" w:cs="Arial"/>
          <w:b/>
          <w:color w:val="1F497D" w:themeColor="text2"/>
          <w:lang w:val="en-US"/>
        </w:rPr>
      </w:pPr>
      <w:r>
        <w:rPr>
          <w:color w:val="1F497D" w:themeColor="text2"/>
          <w:lang w:val="en-US"/>
        </w:rPr>
        <w:br w:type="page"/>
      </w:r>
    </w:p>
    <w:p w14:paraId="700D0D6F" w14:textId="4053E204" w:rsidR="006B3A09" w:rsidRDefault="001213E7" w:rsidP="0047594D">
      <w:pPr>
        <w:pStyle w:val="Heading3"/>
        <w:rPr>
          <w:color w:val="1F497D" w:themeColor="text2"/>
          <w:lang w:val="en-US"/>
        </w:rPr>
      </w:pPr>
      <w:bookmarkStart w:id="28" w:name="_Toc239682132"/>
      <w:r w:rsidRPr="006B3A09">
        <w:rPr>
          <w:color w:val="1F497D" w:themeColor="text2"/>
          <w:lang w:val="en-US"/>
        </w:rPr>
        <w:lastRenderedPageBreak/>
        <w:t>Primary care, NHS 111 and admission avoidance</w:t>
      </w:r>
      <w:bookmarkEnd w:id="28"/>
    </w:p>
    <w:p w14:paraId="428340A5" w14:textId="77777777" w:rsidR="006222E8" w:rsidRPr="006222E8" w:rsidRDefault="006222E8" w:rsidP="006222E8">
      <w:pPr>
        <w:rPr>
          <w:lang w:val="en-US"/>
        </w:rPr>
      </w:pPr>
    </w:p>
    <w:p w14:paraId="75C0251B" w14:textId="77777777" w:rsidR="006222E8" w:rsidRDefault="001213E7" w:rsidP="001213E7">
      <w:pPr>
        <w:jc w:val="both"/>
        <w:rPr>
          <w:rFonts w:ascii="Arial" w:hAnsi="Arial" w:cs="Arial"/>
          <w:sz w:val="22"/>
          <w:szCs w:val="22"/>
          <w:lang w:val="en-US"/>
        </w:rPr>
      </w:pPr>
      <w:r w:rsidRPr="001213E7">
        <w:rPr>
          <w:rFonts w:ascii="Arial" w:hAnsi="Arial" w:cs="Arial"/>
          <w:sz w:val="22"/>
          <w:szCs w:val="22"/>
          <w:lang w:val="en-US"/>
        </w:rPr>
        <w:t>The ICB will support delivery of the Choose Well campaign, helping people access the right care in the right place and reducing avoidable pressure on urgent and emergency services.</w:t>
      </w:r>
      <w:r w:rsidR="006222E8">
        <w:rPr>
          <w:rFonts w:ascii="Arial" w:hAnsi="Arial" w:cs="Arial"/>
          <w:sz w:val="22"/>
          <w:szCs w:val="22"/>
          <w:lang w:val="en-US"/>
        </w:rPr>
        <w:t xml:space="preserve"> </w:t>
      </w:r>
    </w:p>
    <w:p w14:paraId="5E9CD738" w14:textId="77777777" w:rsidR="006222E8" w:rsidRDefault="006222E8" w:rsidP="001213E7">
      <w:pPr>
        <w:jc w:val="both"/>
        <w:rPr>
          <w:rFonts w:ascii="Arial" w:hAnsi="Arial" w:cs="Arial"/>
          <w:sz w:val="22"/>
          <w:szCs w:val="22"/>
          <w:lang w:val="en-US"/>
        </w:rPr>
      </w:pPr>
    </w:p>
    <w:p w14:paraId="5E6FC9A4" w14:textId="675C6508" w:rsidR="001213E7" w:rsidRPr="001213E7" w:rsidRDefault="001213E7" w:rsidP="001213E7">
      <w:pPr>
        <w:jc w:val="both"/>
        <w:rPr>
          <w:lang w:val="en-US"/>
        </w:rPr>
      </w:pPr>
      <w:r w:rsidRPr="001213E7">
        <w:rPr>
          <w:rFonts w:ascii="Arial" w:hAnsi="Arial" w:cs="Arial"/>
          <w:sz w:val="22"/>
          <w:szCs w:val="22"/>
          <w:lang w:val="en-US"/>
        </w:rPr>
        <w:t>The campaign will promote self-care, community pharmacy, general practice, urgent treatment services and NHS 111, encouraging people to choose the most appropriate service for their needs. Activity will align with national and regional priorities while reflecting local services and pathways across Gloucestershire and BNSSG. Delivery will be supported through NHS and partner channels, with messaging informed by audience insight, business intelligence and evaluation.</w:t>
      </w:r>
    </w:p>
    <w:p w14:paraId="05DCD97D" w14:textId="77777777" w:rsidR="006B3A09" w:rsidRDefault="006B3A09">
      <w:pPr>
        <w:widowControl/>
        <w:rPr>
          <w:rFonts w:ascii="Arial" w:hAnsi="Arial"/>
          <w:b/>
          <w:color w:val="1F497D" w:themeColor="text2"/>
          <w:sz w:val="32"/>
          <w:szCs w:val="22"/>
          <w:lang w:val="en-US"/>
        </w:rPr>
      </w:pPr>
      <w:r>
        <w:rPr>
          <w:lang w:val="en-US"/>
        </w:rPr>
        <w:br w:type="page"/>
      </w:r>
    </w:p>
    <w:p w14:paraId="4A2B6918" w14:textId="4AD91A90" w:rsidR="00456466" w:rsidRPr="00661B1D" w:rsidRDefault="00456466" w:rsidP="00456466">
      <w:pPr>
        <w:pStyle w:val="PolicyHeading"/>
        <w:rPr>
          <w:lang w:val="en-US"/>
        </w:rPr>
      </w:pPr>
      <w:bookmarkStart w:id="29" w:name="_Toc239682133"/>
      <w:r>
        <w:rPr>
          <w:lang w:val="en-US"/>
        </w:rPr>
        <w:lastRenderedPageBreak/>
        <w:t>Ap</w:t>
      </w:r>
      <w:r w:rsidR="001A717D">
        <w:rPr>
          <w:lang w:val="en-US"/>
        </w:rPr>
        <w:t>p</w:t>
      </w:r>
      <w:r>
        <w:rPr>
          <w:lang w:val="en-US"/>
        </w:rPr>
        <w:t>endices</w:t>
      </w:r>
      <w:bookmarkEnd w:id="29"/>
      <w:r>
        <w:rPr>
          <w:lang w:val="en-US"/>
        </w:rPr>
        <w:t xml:space="preserve"> </w:t>
      </w:r>
    </w:p>
    <w:p w14:paraId="432AC76A" w14:textId="77777777" w:rsidR="00F33B40" w:rsidRDefault="00F33B40" w:rsidP="003E349C">
      <w:pPr>
        <w:rPr>
          <w:rFonts w:ascii="Arial" w:hAnsi="Arial" w:cs="Arial"/>
          <w:bCs/>
          <w:szCs w:val="24"/>
          <w:lang w:val="en-US"/>
        </w:rPr>
      </w:pPr>
    </w:p>
    <w:p w14:paraId="2F903274" w14:textId="13590DFB" w:rsidR="00F33B40" w:rsidRPr="00055076" w:rsidRDefault="004565A5" w:rsidP="004565A5">
      <w:pPr>
        <w:pStyle w:val="Heading3"/>
        <w:rPr>
          <w:color w:val="1F497D" w:themeColor="text2"/>
          <w:lang w:val="en-US"/>
        </w:rPr>
      </w:pPr>
      <w:bookmarkStart w:id="30" w:name="_Toc239682134"/>
      <w:r w:rsidRPr="00055076">
        <w:rPr>
          <w:color w:val="1F497D" w:themeColor="text2"/>
          <w:lang w:val="en-US"/>
        </w:rPr>
        <w:t>Gloucestershire ICB Quality Impact Assessment</w:t>
      </w:r>
      <w:bookmarkEnd w:id="30"/>
    </w:p>
    <w:p w14:paraId="7F1EDC2C" w14:textId="77777777" w:rsidR="003D23D3" w:rsidRPr="00055076" w:rsidRDefault="003D23D3" w:rsidP="003D23D3">
      <w:pPr>
        <w:rPr>
          <w:lang w:val="en-US"/>
        </w:rPr>
      </w:pPr>
    </w:p>
    <w:p w14:paraId="47F4BF3B" w14:textId="78AD1BBC" w:rsidR="004565A5" w:rsidRPr="00055076" w:rsidRDefault="00055076" w:rsidP="003E349C">
      <w:pPr>
        <w:rPr>
          <w:rFonts w:ascii="Arial" w:hAnsi="Arial" w:cs="Arial"/>
          <w:bCs/>
          <w:szCs w:val="24"/>
          <w:lang w:val="en-US"/>
        </w:rPr>
      </w:pPr>
      <w:r w:rsidRPr="00055076">
        <w:rPr>
          <w:rFonts w:ascii="Arial" w:hAnsi="Arial" w:cs="Arial"/>
          <w:bCs/>
          <w:szCs w:val="24"/>
          <w:lang w:val="en-US"/>
        </w:rPr>
        <w:object w:dxaOrig="1534" w:dyaOrig="994" w14:anchorId="240DF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50.4pt" o:ole="">
            <v:imagedata r:id="rId13" o:title=""/>
          </v:shape>
          <o:OLEObject Type="Embed" ProgID="Excel.Sheet.12" ShapeID="_x0000_i1025" DrawAspect="Icon" ObjectID="_1852193843" r:id="rId14"/>
        </w:object>
      </w:r>
    </w:p>
    <w:p w14:paraId="408BF491" w14:textId="77777777" w:rsidR="00661B1D" w:rsidRPr="00661B1D" w:rsidRDefault="00661B1D" w:rsidP="003E349C">
      <w:pPr>
        <w:rPr>
          <w:rFonts w:ascii="Arial" w:hAnsi="Arial" w:cs="Arial"/>
          <w:bCs/>
          <w:szCs w:val="24"/>
          <w:highlight w:val="yellow"/>
          <w:lang w:val="en-US"/>
        </w:rPr>
      </w:pPr>
    </w:p>
    <w:p w14:paraId="2402A4E6" w14:textId="6ABA9524" w:rsidR="00661B1D" w:rsidRPr="00F9153B" w:rsidRDefault="0051105D" w:rsidP="00F9153B">
      <w:pPr>
        <w:pStyle w:val="Heading3"/>
        <w:rPr>
          <w:color w:val="1F497D" w:themeColor="text2"/>
          <w:lang w:val="en-US"/>
        </w:rPr>
      </w:pPr>
      <w:bookmarkStart w:id="31" w:name="_Toc239682135"/>
      <w:r w:rsidRPr="00F9153B">
        <w:rPr>
          <w:color w:val="1F497D" w:themeColor="text2"/>
          <w:lang w:val="en-US"/>
        </w:rPr>
        <w:t>B</w:t>
      </w:r>
      <w:r w:rsidR="005A5406" w:rsidRPr="00F9153B">
        <w:rPr>
          <w:color w:val="1F497D" w:themeColor="text2"/>
          <w:lang w:val="en-US"/>
        </w:rPr>
        <w:t>oard Assurance Statement</w:t>
      </w:r>
      <w:r w:rsidR="0079193D" w:rsidRPr="00F9153B">
        <w:rPr>
          <w:color w:val="1F497D" w:themeColor="text2"/>
          <w:lang w:val="en-US"/>
        </w:rPr>
        <w:t>s</w:t>
      </w:r>
      <w:r w:rsidR="005A5406" w:rsidRPr="00F9153B">
        <w:rPr>
          <w:color w:val="1F497D" w:themeColor="text2"/>
          <w:lang w:val="en-US"/>
        </w:rPr>
        <w:t xml:space="preserve"> – Self Assessment</w:t>
      </w:r>
      <w:r w:rsidR="001E46A3" w:rsidRPr="00F9153B">
        <w:rPr>
          <w:color w:val="1F497D" w:themeColor="text2"/>
          <w:lang w:val="en-US"/>
        </w:rPr>
        <w:t xml:space="preserve"> Templates </w:t>
      </w:r>
      <w:r w:rsidR="005A5406" w:rsidRPr="00F9153B">
        <w:rPr>
          <w:color w:val="1F497D" w:themeColor="text2"/>
          <w:lang w:val="en-US"/>
        </w:rPr>
        <w:t>due</w:t>
      </w:r>
      <w:r w:rsidR="0079193D" w:rsidRPr="00F9153B">
        <w:rPr>
          <w:color w:val="1F497D" w:themeColor="text2"/>
          <w:lang w:val="en-US"/>
        </w:rPr>
        <w:t xml:space="preserve"> 30 Sept 2026</w:t>
      </w:r>
      <w:bookmarkEnd w:id="31"/>
    </w:p>
    <w:p w14:paraId="10227E2D" w14:textId="77777777" w:rsidR="0079193D" w:rsidRPr="00F9153B" w:rsidRDefault="0079193D" w:rsidP="003E349C">
      <w:pPr>
        <w:rPr>
          <w:rFonts w:ascii="Arial" w:hAnsi="Arial" w:cs="Arial"/>
          <w:bCs/>
          <w:szCs w:val="24"/>
          <w:lang w:val="en-US"/>
        </w:rPr>
      </w:pPr>
    </w:p>
    <w:p w14:paraId="7ACC6C69" w14:textId="47C27AF2" w:rsidR="0079193D" w:rsidRPr="00F9153B" w:rsidRDefault="0079193D" w:rsidP="003E349C">
      <w:pPr>
        <w:rPr>
          <w:rFonts w:ascii="Arial" w:hAnsi="Arial" w:cs="Arial"/>
          <w:bCs/>
          <w:szCs w:val="24"/>
          <w:lang w:val="en-US"/>
        </w:rPr>
      </w:pPr>
      <w:r w:rsidRPr="00F9153B">
        <w:rPr>
          <w:rFonts w:ascii="Arial" w:hAnsi="Arial" w:cs="Arial"/>
          <w:bCs/>
          <w:szCs w:val="24"/>
          <w:lang w:val="en-US"/>
        </w:rPr>
        <w:t xml:space="preserve">ICB: </w:t>
      </w:r>
      <w:r w:rsidR="00F9153B" w:rsidRPr="00F9153B">
        <w:rPr>
          <w:rFonts w:ascii="Arial" w:hAnsi="Arial" w:cs="Arial"/>
          <w:bCs/>
          <w:szCs w:val="24"/>
          <w:lang w:val="en-US"/>
        </w:rPr>
        <w:object w:dxaOrig="1534" w:dyaOrig="994" w14:anchorId="0AF36737">
          <v:shape id="_x0000_i1026" type="#_x0000_t75" style="width:79.2pt;height:50.4pt" o:ole="">
            <v:imagedata r:id="rId15" o:title=""/>
          </v:shape>
          <o:OLEObject Type="Embed" ProgID="Excel.Sheet.12" ShapeID="_x0000_i1026" DrawAspect="Icon" ObjectID="_1852193844" r:id="rId16"/>
        </w:object>
      </w:r>
    </w:p>
    <w:p w14:paraId="010C71CF" w14:textId="77777777" w:rsidR="0079193D" w:rsidRPr="00F9153B" w:rsidRDefault="0079193D" w:rsidP="003E349C">
      <w:pPr>
        <w:rPr>
          <w:rFonts w:ascii="Arial" w:hAnsi="Arial" w:cs="Arial"/>
          <w:bCs/>
          <w:szCs w:val="24"/>
          <w:lang w:val="en-US"/>
        </w:rPr>
      </w:pPr>
    </w:p>
    <w:p w14:paraId="485691D9" w14:textId="100442CA" w:rsidR="0079193D" w:rsidRPr="00F9153B" w:rsidRDefault="001E46A3" w:rsidP="003E349C">
      <w:pPr>
        <w:rPr>
          <w:rFonts w:ascii="Arial" w:hAnsi="Arial" w:cs="Arial"/>
          <w:bCs/>
          <w:szCs w:val="24"/>
          <w:lang w:val="en-US"/>
        </w:rPr>
      </w:pPr>
      <w:r w:rsidRPr="00F9153B">
        <w:rPr>
          <w:rFonts w:ascii="Arial" w:hAnsi="Arial" w:cs="Arial"/>
          <w:bCs/>
          <w:szCs w:val="24"/>
          <w:lang w:val="en-US"/>
        </w:rPr>
        <w:t xml:space="preserve">Trust: </w:t>
      </w:r>
      <w:r w:rsidR="00F9153B" w:rsidRPr="00F9153B">
        <w:rPr>
          <w:rFonts w:ascii="Arial" w:hAnsi="Arial" w:cs="Arial"/>
          <w:bCs/>
          <w:szCs w:val="24"/>
          <w:lang w:val="en-US"/>
        </w:rPr>
        <w:object w:dxaOrig="1534" w:dyaOrig="994" w14:anchorId="0E82F69C">
          <v:shape id="_x0000_i1027" type="#_x0000_t75" style="width:79.2pt;height:50.4pt" o:ole="">
            <v:imagedata r:id="rId17" o:title=""/>
          </v:shape>
          <o:OLEObject Type="Embed" ProgID="Excel.Sheet.12" ShapeID="_x0000_i1027" DrawAspect="Icon" ObjectID="_1852193845" r:id="rId18"/>
        </w:object>
      </w:r>
    </w:p>
    <w:p w14:paraId="4C51D174" w14:textId="77777777" w:rsidR="001E46A3" w:rsidRPr="00F9153B" w:rsidRDefault="001E46A3" w:rsidP="003E349C">
      <w:pPr>
        <w:rPr>
          <w:rFonts w:ascii="Arial" w:hAnsi="Arial" w:cs="Arial"/>
          <w:bCs/>
          <w:szCs w:val="24"/>
          <w:lang w:val="en-US"/>
        </w:rPr>
      </w:pPr>
    </w:p>
    <w:p w14:paraId="3714D8DA" w14:textId="0BC57B43" w:rsidR="001E46A3" w:rsidRPr="00F9153B" w:rsidRDefault="001E46A3" w:rsidP="003E349C">
      <w:pPr>
        <w:rPr>
          <w:rFonts w:ascii="Arial" w:hAnsi="Arial" w:cs="Arial"/>
          <w:bCs/>
          <w:szCs w:val="24"/>
          <w:lang w:val="en-US"/>
        </w:rPr>
      </w:pPr>
      <w:r w:rsidRPr="00F9153B">
        <w:rPr>
          <w:rFonts w:ascii="Arial" w:hAnsi="Arial" w:cs="Arial"/>
          <w:bCs/>
          <w:szCs w:val="24"/>
          <w:lang w:val="en-US"/>
        </w:rPr>
        <w:t xml:space="preserve">Amb: </w:t>
      </w:r>
      <w:r w:rsidRPr="00F9153B">
        <w:rPr>
          <w:rFonts w:ascii="Arial" w:hAnsi="Arial" w:cs="Arial"/>
          <w:bCs/>
          <w:szCs w:val="24"/>
          <w:lang w:val="en-US"/>
        </w:rPr>
        <w:object w:dxaOrig="1534" w:dyaOrig="994" w14:anchorId="32166B18">
          <v:shape id="_x0000_i1028" type="#_x0000_t75" style="width:79.2pt;height:50.4pt" o:ole="">
            <v:imagedata r:id="rId19" o:title=""/>
          </v:shape>
          <o:OLEObject Type="Embed" ProgID="Excel.Sheet.12" ShapeID="_x0000_i1028" DrawAspect="Icon" ObjectID="_1852193846" r:id="rId20"/>
        </w:object>
      </w:r>
    </w:p>
    <w:p w14:paraId="775FE6B0" w14:textId="77777777" w:rsidR="00661B1D" w:rsidRPr="00661B1D" w:rsidRDefault="00661B1D" w:rsidP="003E349C">
      <w:pPr>
        <w:rPr>
          <w:rFonts w:ascii="Arial" w:hAnsi="Arial" w:cs="Arial"/>
          <w:bCs/>
          <w:szCs w:val="24"/>
          <w:highlight w:val="yellow"/>
          <w:lang w:val="en-US"/>
        </w:rPr>
      </w:pPr>
    </w:p>
    <w:p w14:paraId="71F04A71" w14:textId="7C6F3C68" w:rsidR="00661B1D" w:rsidRPr="00E15D0D" w:rsidRDefault="00913FAE" w:rsidP="00913FAE">
      <w:pPr>
        <w:pStyle w:val="Heading3"/>
        <w:rPr>
          <w:color w:val="1F497D" w:themeColor="text2"/>
          <w:lang w:val="en-US"/>
        </w:rPr>
      </w:pPr>
      <w:bookmarkStart w:id="32" w:name="_Toc239682136"/>
      <w:r w:rsidRPr="00E15D0D">
        <w:rPr>
          <w:color w:val="1F497D" w:themeColor="text2"/>
          <w:lang w:val="en-US"/>
        </w:rPr>
        <w:t>Vaccination Assurance</w:t>
      </w:r>
      <w:bookmarkEnd w:id="32"/>
      <w:r w:rsidRPr="00E15D0D">
        <w:rPr>
          <w:color w:val="1F497D" w:themeColor="text2"/>
          <w:lang w:val="en-US"/>
        </w:rPr>
        <w:t xml:space="preserve"> </w:t>
      </w:r>
    </w:p>
    <w:p w14:paraId="47946678" w14:textId="77777777" w:rsidR="00913FAE" w:rsidRPr="00E15D0D" w:rsidRDefault="00913FAE" w:rsidP="003E349C">
      <w:pPr>
        <w:rPr>
          <w:rFonts w:ascii="Arial" w:hAnsi="Arial" w:cs="Arial"/>
          <w:bCs/>
          <w:szCs w:val="24"/>
          <w:lang w:val="en-US"/>
        </w:rPr>
      </w:pPr>
    </w:p>
    <w:p w14:paraId="2B62544F" w14:textId="54D06B76" w:rsidR="00661B1D" w:rsidRDefault="002E2A83" w:rsidP="3343EF95">
      <w:pPr>
        <w:rPr>
          <w:rFonts w:ascii="Arial" w:hAnsi="Arial" w:cs="Arial"/>
          <w:lang w:val="en-US"/>
        </w:rPr>
      </w:pPr>
      <w:r>
        <w:rPr>
          <w:rFonts w:ascii="Arial" w:hAnsi="Arial" w:cs="Arial"/>
          <w:lang w:val="en-US"/>
        </w:rPr>
        <w:object w:dxaOrig="1534" w:dyaOrig="994" w14:anchorId="5AB77531">
          <v:shape id="_x0000_i1029" type="#_x0000_t75" style="width:79.2pt;height:50.4pt" o:ole="">
            <v:imagedata r:id="rId21" o:title=""/>
          </v:shape>
          <o:OLEObject Type="Embed" ProgID="Excel.Sheet.12" ShapeID="_x0000_i1029" DrawAspect="Icon" ObjectID="_1852193847" r:id="rId22"/>
        </w:object>
      </w:r>
    </w:p>
    <w:p w14:paraId="0AE566B2" w14:textId="77777777" w:rsidR="00F33B40" w:rsidRDefault="00F33B40" w:rsidP="003E349C">
      <w:pPr>
        <w:rPr>
          <w:rFonts w:ascii="Arial" w:hAnsi="Arial" w:cs="Arial"/>
          <w:bCs/>
          <w:szCs w:val="24"/>
          <w:lang w:val="en-US"/>
        </w:rPr>
      </w:pPr>
    </w:p>
    <w:p w14:paraId="65F1B956" w14:textId="77777777" w:rsidR="00F33B40" w:rsidRDefault="00F33B40" w:rsidP="003E349C">
      <w:pPr>
        <w:rPr>
          <w:rFonts w:ascii="Arial" w:hAnsi="Arial" w:cs="Arial"/>
          <w:bCs/>
          <w:szCs w:val="24"/>
          <w:lang w:val="en-US"/>
        </w:rPr>
      </w:pPr>
    </w:p>
    <w:p w14:paraId="6E16B652" w14:textId="77777777" w:rsidR="00762574" w:rsidRDefault="00762574">
      <w:pPr>
        <w:widowControl/>
        <w:rPr>
          <w:rFonts w:ascii="Arial" w:eastAsia="MS Mincho" w:hAnsi="Arial"/>
          <w:b/>
          <w:color w:val="1F497D" w:themeColor="text2"/>
          <w:sz w:val="32"/>
          <w:szCs w:val="22"/>
        </w:rPr>
      </w:pPr>
      <w:r>
        <w:rPr>
          <w:rFonts w:eastAsia="MS Mincho"/>
        </w:rPr>
        <w:br w:type="page"/>
      </w:r>
    </w:p>
    <w:p w14:paraId="337F55AF" w14:textId="59D8D2AA" w:rsidR="00924D11" w:rsidRPr="005608CD" w:rsidRDefault="003B5FD2" w:rsidP="000D2C47">
      <w:pPr>
        <w:pStyle w:val="PolicyHeading"/>
        <w:rPr>
          <w:rFonts w:eastAsia="MS Mincho"/>
        </w:rPr>
      </w:pPr>
      <w:bookmarkStart w:id="33" w:name="_Toc239682137"/>
      <w:r>
        <w:rPr>
          <w:rFonts w:eastAsia="MS Mincho"/>
        </w:rPr>
        <w:lastRenderedPageBreak/>
        <w:t>G</w:t>
      </w:r>
      <w:r w:rsidR="00597C87" w:rsidRPr="00887324">
        <w:rPr>
          <w:rFonts w:eastAsia="MS Mincho"/>
        </w:rPr>
        <w:t xml:space="preserve">lossary of Acronyms </w:t>
      </w:r>
      <w:r w:rsidR="004F5E04" w:rsidRPr="00887324">
        <w:rPr>
          <w:rFonts w:eastAsia="MS Mincho"/>
        </w:rPr>
        <w:t>and Definitions</w:t>
      </w:r>
      <w:bookmarkEnd w:id="33"/>
      <w:r w:rsidR="004F5E04" w:rsidRPr="00887324">
        <w:rPr>
          <w:rFonts w:eastAsia="MS Mincho"/>
        </w:rPr>
        <w:t xml:space="preserve"> </w:t>
      </w:r>
    </w:p>
    <w:tbl>
      <w:tblPr>
        <w:tblStyle w:val="ListTable1Light-Accent1"/>
        <w:tblW w:w="9480" w:type="dxa"/>
        <w:tblLook w:val="04A0" w:firstRow="1" w:lastRow="0" w:firstColumn="1" w:lastColumn="0" w:noHBand="0" w:noVBand="1"/>
      </w:tblPr>
      <w:tblGrid>
        <w:gridCol w:w="1260"/>
        <w:gridCol w:w="8220"/>
      </w:tblGrid>
      <w:tr w:rsidR="005608CD" w:rsidRPr="005608CD" w14:paraId="2DFBA86E" w14:textId="77777777" w:rsidTr="00D0424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1E791B53" w14:textId="77777777" w:rsidR="005608CD" w:rsidRPr="005608CD" w:rsidRDefault="005608CD" w:rsidP="00243106">
            <w:pPr>
              <w:widowControl/>
              <w:rPr>
                <w:rFonts w:ascii="Arial" w:hAnsi="Arial" w:cs="Arial"/>
                <w:snapToGrid/>
                <w:color w:val="000000"/>
                <w:sz w:val="22"/>
                <w:szCs w:val="22"/>
                <w:lang w:eastAsia="en-GB"/>
              </w:rPr>
            </w:pPr>
          </w:p>
        </w:tc>
        <w:tc>
          <w:tcPr>
            <w:tcW w:w="8220" w:type="dxa"/>
            <w:vAlign w:val="center"/>
          </w:tcPr>
          <w:p w14:paraId="271A109A" w14:textId="77777777" w:rsidR="005608CD" w:rsidRPr="005608CD" w:rsidRDefault="005608CD" w:rsidP="00243106">
            <w:pPr>
              <w:widowControl/>
              <w:cnfStyle w:val="100000000000" w:firstRow="1"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p>
        </w:tc>
      </w:tr>
      <w:tr w:rsidR="005608CD" w:rsidRPr="005608CD" w14:paraId="617DA9C2"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44A4DDB"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A&amp;E</w:t>
            </w:r>
          </w:p>
        </w:tc>
        <w:tc>
          <w:tcPr>
            <w:tcW w:w="8220" w:type="dxa"/>
            <w:vAlign w:val="center"/>
            <w:hideMark/>
          </w:tcPr>
          <w:p w14:paraId="6199B9E6"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Accident &amp; Emergency Department. The hospital department providing urgent and emergency treatment for serious injuries or illnesses.</w:t>
            </w:r>
          </w:p>
        </w:tc>
      </w:tr>
      <w:tr w:rsidR="005608CD" w:rsidRPr="005608CD" w14:paraId="6492A347"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CE6655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AI</w:t>
            </w:r>
          </w:p>
        </w:tc>
        <w:tc>
          <w:tcPr>
            <w:tcW w:w="8220" w:type="dxa"/>
            <w:vAlign w:val="center"/>
            <w:hideMark/>
          </w:tcPr>
          <w:p w14:paraId="1DC9DF92"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Artificial Intelligence. Used for predictive modelling, demand forecasting, or operational decision-support tools.</w:t>
            </w:r>
          </w:p>
        </w:tc>
      </w:tr>
      <w:tr w:rsidR="005608CD" w:rsidRPr="005608CD" w14:paraId="6B028103"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88EC052"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AMU</w:t>
            </w:r>
          </w:p>
        </w:tc>
        <w:tc>
          <w:tcPr>
            <w:tcW w:w="8220" w:type="dxa"/>
            <w:noWrap/>
            <w:vAlign w:val="center"/>
            <w:hideMark/>
          </w:tcPr>
          <w:p w14:paraId="4774E859"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Acute Medical Unit. a hospital ward where patients with acute medical conditions receive rapid assessment and treatment.</w:t>
            </w:r>
          </w:p>
        </w:tc>
      </w:tr>
      <w:tr w:rsidR="005608CD" w:rsidRPr="005608CD" w14:paraId="7C8CEC62"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A1C326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AOT</w:t>
            </w:r>
          </w:p>
        </w:tc>
        <w:tc>
          <w:tcPr>
            <w:tcW w:w="8220" w:type="dxa"/>
            <w:noWrap/>
            <w:vAlign w:val="center"/>
            <w:hideMark/>
          </w:tcPr>
          <w:p w14:paraId="06C63286"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Assertive Outreach Team. mental health service supporting people with severe and enduring mental illness in the community.</w:t>
            </w:r>
          </w:p>
        </w:tc>
      </w:tr>
      <w:tr w:rsidR="005608CD" w:rsidRPr="005608CD" w14:paraId="5B23F6A3"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5556429"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ARI</w:t>
            </w:r>
          </w:p>
        </w:tc>
        <w:tc>
          <w:tcPr>
            <w:tcW w:w="8220" w:type="dxa"/>
            <w:noWrap/>
            <w:vAlign w:val="center"/>
            <w:hideMark/>
          </w:tcPr>
          <w:p w14:paraId="77F05CC5"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Acute Respiratory Illness. sudden onset respiratory conditions requiring urgent medical attention.</w:t>
            </w:r>
          </w:p>
        </w:tc>
      </w:tr>
      <w:tr w:rsidR="005608CD" w:rsidRPr="005608CD" w14:paraId="0A8239A2"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DB9BBD6"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ASC</w:t>
            </w:r>
          </w:p>
        </w:tc>
        <w:tc>
          <w:tcPr>
            <w:tcW w:w="8220" w:type="dxa"/>
            <w:vAlign w:val="center"/>
            <w:hideMark/>
          </w:tcPr>
          <w:p w14:paraId="2967B472"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Adult Social Care. Local authority services that provide support for adults with care and support needs, including home care, residential care, and reablement.</w:t>
            </w:r>
          </w:p>
        </w:tc>
      </w:tr>
      <w:tr w:rsidR="005608CD" w:rsidRPr="005608CD" w14:paraId="1E637E87"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0E9A28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BAU</w:t>
            </w:r>
          </w:p>
        </w:tc>
        <w:tc>
          <w:tcPr>
            <w:tcW w:w="8220" w:type="dxa"/>
            <w:vAlign w:val="center"/>
            <w:hideMark/>
          </w:tcPr>
          <w:p w14:paraId="5E0C714D"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Business as Usual. Standard operational activity outside of escalation or surge measures.</w:t>
            </w:r>
          </w:p>
        </w:tc>
      </w:tr>
      <w:tr w:rsidR="005608CD" w:rsidRPr="005608CD" w14:paraId="353E44C5"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9F9B591"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BCF</w:t>
            </w:r>
          </w:p>
        </w:tc>
        <w:tc>
          <w:tcPr>
            <w:tcW w:w="8220" w:type="dxa"/>
            <w:noWrap/>
            <w:vAlign w:val="center"/>
            <w:hideMark/>
          </w:tcPr>
          <w:p w14:paraId="2BB7622E"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Better Care Fund. programme to join up health and social care services.</w:t>
            </w:r>
          </w:p>
        </w:tc>
      </w:tr>
      <w:tr w:rsidR="005608CD" w:rsidRPr="005608CD" w14:paraId="471768D3"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0E10D0A"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BCI</w:t>
            </w:r>
          </w:p>
        </w:tc>
        <w:tc>
          <w:tcPr>
            <w:tcW w:w="8220" w:type="dxa"/>
            <w:noWrap/>
            <w:vAlign w:val="center"/>
            <w:hideMark/>
          </w:tcPr>
          <w:p w14:paraId="44BDF972"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Business Continuity Incident. an event disrupting normal service delivery requiring contingency measures.</w:t>
            </w:r>
          </w:p>
        </w:tc>
      </w:tr>
      <w:tr w:rsidR="005608CD" w:rsidRPr="005608CD" w14:paraId="76B7153C"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81D3B6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BCP</w:t>
            </w:r>
          </w:p>
        </w:tc>
        <w:tc>
          <w:tcPr>
            <w:tcW w:w="8220" w:type="dxa"/>
            <w:noWrap/>
            <w:vAlign w:val="center"/>
            <w:hideMark/>
          </w:tcPr>
          <w:p w14:paraId="447C7C3D"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Business Continuity Plan. documented plan for maintaining services during disruption.</w:t>
            </w:r>
          </w:p>
        </w:tc>
      </w:tr>
      <w:tr w:rsidR="005608CD" w:rsidRPr="005608CD" w14:paraId="54476C04"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8B6A04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BCP</w:t>
            </w:r>
          </w:p>
        </w:tc>
        <w:tc>
          <w:tcPr>
            <w:tcW w:w="8220" w:type="dxa"/>
            <w:noWrap/>
            <w:vAlign w:val="center"/>
            <w:hideMark/>
          </w:tcPr>
          <w:p w14:paraId="412F7279"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Business Continuity Plan. documented plan for maintaining services during disruption.</w:t>
            </w:r>
          </w:p>
        </w:tc>
      </w:tr>
      <w:tr w:rsidR="005608CD" w:rsidRPr="005608CD" w14:paraId="4BFB996A"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5307AA0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CAMHS</w:t>
            </w:r>
          </w:p>
        </w:tc>
        <w:tc>
          <w:tcPr>
            <w:tcW w:w="8220" w:type="dxa"/>
            <w:vAlign w:val="center"/>
            <w:hideMark/>
          </w:tcPr>
          <w:p w14:paraId="68136AF8"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Child and Adolescent Mental Health Services. Specialist services for children and young people experiencing mental health difficulties.</w:t>
            </w:r>
          </w:p>
        </w:tc>
      </w:tr>
      <w:tr w:rsidR="005608CD" w:rsidRPr="005608CD" w14:paraId="443805FD"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E3951E0"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CAS</w:t>
            </w:r>
          </w:p>
        </w:tc>
        <w:tc>
          <w:tcPr>
            <w:tcW w:w="8220" w:type="dxa"/>
            <w:vAlign w:val="center"/>
            <w:hideMark/>
          </w:tcPr>
          <w:p w14:paraId="4806B419"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Clinical Assessment Service. A team of clinicians providing telephone triage and advice to support NHS 111 and urgent care pathways.</w:t>
            </w:r>
          </w:p>
        </w:tc>
      </w:tr>
      <w:tr w:rsidR="005608CD" w:rsidRPr="005608CD" w14:paraId="7E7374B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44A8BC2"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CATU</w:t>
            </w:r>
          </w:p>
        </w:tc>
        <w:tc>
          <w:tcPr>
            <w:tcW w:w="8220" w:type="dxa"/>
            <w:vAlign w:val="center"/>
            <w:hideMark/>
          </w:tcPr>
          <w:p w14:paraId="2AE06AF1"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Community Assessment &amp; Treatment Unit. Provides rapid assessment and treatment in a community setting to avoid unnecessary hospital admissions.</w:t>
            </w:r>
          </w:p>
        </w:tc>
      </w:tr>
      <w:tr w:rsidR="005608CD" w:rsidRPr="005608CD" w14:paraId="76354DFB"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E528B0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CGH</w:t>
            </w:r>
          </w:p>
        </w:tc>
        <w:tc>
          <w:tcPr>
            <w:tcW w:w="8220" w:type="dxa"/>
            <w:noWrap/>
            <w:vAlign w:val="center"/>
            <w:hideMark/>
          </w:tcPr>
          <w:p w14:paraId="2FAC0B2B"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Cheltenham General Hospital. one of the acute hospital sites in Gloucestershire.</w:t>
            </w:r>
          </w:p>
        </w:tc>
      </w:tr>
      <w:tr w:rsidR="005608CD" w:rsidRPr="005608CD" w14:paraId="49AB7961"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5FD7C7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CI</w:t>
            </w:r>
          </w:p>
        </w:tc>
        <w:tc>
          <w:tcPr>
            <w:tcW w:w="8220" w:type="dxa"/>
            <w:vAlign w:val="center"/>
            <w:hideMark/>
          </w:tcPr>
          <w:p w14:paraId="189C9276"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Continuous Improvement. A structured approach to improving services through iterative changes, measurement, and review.</w:t>
            </w:r>
          </w:p>
        </w:tc>
      </w:tr>
      <w:tr w:rsidR="005608CD" w:rsidRPr="005608CD" w14:paraId="5D919C99"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25C6723" w14:textId="77777777" w:rsidR="005608CD" w:rsidRPr="005608CD" w:rsidRDefault="005608CD" w:rsidP="00243106">
            <w:pPr>
              <w:widowControl/>
              <w:rPr>
                <w:rFonts w:ascii="Arial" w:hAnsi="Arial" w:cs="Arial"/>
                <w:snapToGrid/>
                <w:color w:val="000000"/>
                <w:sz w:val="22"/>
                <w:szCs w:val="22"/>
                <w:lang w:eastAsia="en-GB"/>
              </w:rPr>
            </w:pPr>
            <w:proofErr w:type="spellStart"/>
            <w:r w:rsidRPr="005608CD">
              <w:rPr>
                <w:rFonts w:ascii="Arial" w:hAnsi="Arial" w:cs="Arial"/>
                <w:snapToGrid/>
                <w:color w:val="000000"/>
                <w:sz w:val="22"/>
                <w:szCs w:val="22"/>
                <w:lang w:eastAsia="en-GB"/>
              </w:rPr>
              <w:t>Cinapsis</w:t>
            </w:r>
            <w:proofErr w:type="spellEnd"/>
          </w:p>
        </w:tc>
        <w:tc>
          <w:tcPr>
            <w:tcW w:w="8220" w:type="dxa"/>
            <w:noWrap/>
            <w:vAlign w:val="center"/>
            <w:hideMark/>
          </w:tcPr>
          <w:p w14:paraId="3DED8EF2"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Digital advice and guidance platform connecting clinicians for rapid consultation and decision-making.</w:t>
            </w:r>
          </w:p>
        </w:tc>
      </w:tr>
      <w:tr w:rsidR="005608CD" w:rsidRPr="005608CD" w14:paraId="376AB7B7"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6318CB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COPD</w:t>
            </w:r>
          </w:p>
        </w:tc>
        <w:tc>
          <w:tcPr>
            <w:tcW w:w="8220" w:type="dxa"/>
            <w:vAlign w:val="center"/>
            <w:hideMark/>
          </w:tcPr>
          <w:p w14:paraId="25F15C32"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Chronic Obstructive Pulmonary Disease. A long-term lung condition causing breathing difficulties, often managed in both primary and secondary care settings.</w:t>
            </w:r>
          </w:p>
        </w:tc>
      </w:tr>
      <w:tr w:rsidR="005608CD" w:rsidRPr="005608CD" w14:paraId="5053765E"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416C13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COTE</w:t>
            </w:r>
          </w:p>
        </w:tc>
        <w:tc>
          <w:tcPr>
            <w:tcW w:w="8220" w:type="dxa"/>
            <w:noWrap/>
            <w:vAlign w:val="center"/>
            <w:hideMark/>
          </w:tcPr>
          <w:p w14:paraId="4800589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Care of the Elderly. hospital wards or services specialising in older adult care.</w:t>
            </w:r>
          </w:p>
        </w:tc>
      </w:tr>
      <w:tr w:rsidR="005608CD" w:rsidRPr="005608CD" w14:paraId="1BBAE304"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CF0C200"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COVID</w:t>
            </w:r>
          </w:p>
        </w:tc>
        <w:tc>
          <w:tcPr>
            <w:tcW w:w="8220" w:type="dxa"/>
            <w:vAlign w:val="center"/>
            <w:hideMark/>
          </w:tcPr>
          <w:p w14:paraId="2B4F4947"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Coronavirus Disease. An infectious disease caused by the SARS-CoV-2 virus.</w:t>
            </w:r>
          </w:p>
        </w:tc>
      </w:tr>
      <w:tr w:rsidR="005608CD" w:rsidRPr="005608CD" w14:paraId="4E9CA345"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6BA3C919"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CRHTT</w:t>
            </w:r>
          </w:p>
        </w:tc>
        <w:tc>
          <w:tcPr>
            <w:tcW w:w="8220" w:type="dxa"/>
            <w:noWrap/>
            <w:vAlign w:val="center"/>
            <w:hideMark/>
          </w:tcPr>
          <w:p w14:paraId="0566AA3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Crisis Resolution and Home Treatment Team. mental health team providing intensive home-based support as an alternative to admission.</w:t>
            </w:r>
          </w:p>
        </w:tc>
      </w:tr>
      <w:tr w:rsidR="005608CD" w:rsidRPr="005608CD" w14:paraId="687B7916"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A307D1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CYP</w:t>
            </w:r>
          </w:p>
        </w:tc>
        <w:tc>
          <w:tcPr>
            <w:tcW w:w="8220" w:type="dxa"/>
            <w:vAlign w:val="center"/>
            <w:hideMark/>
          </w:tcPr>
          <w:p w14:paraId="613C7C5A"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Children and Young People. Refers to the 0–25 age group in planning and service delivery.</w:t>
            </w:r>
          </w:p>
        </w:tc>
      </w:tr>
      <w:tr w:rsidR="005608CD" w:rsidRPr="005608CD" w14:paraId="49367D4F"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3E12C8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DRD</w:t>
            </w:r>
          </w:p>
        </w:tc>
        <w:tc>
          <w:tcPr>
            <w:tcW w:w="8220" w:type="dxa"/>
            <w:vAlign w:val="center"/>
            <w:hideMark/>
          </w:tcPr>
          <w:p w14:paraId="5075908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Discharge Ready Date. The date on which a patient is deemed medically optimised for discharge from hospital, meaning their acute care is complete and they no longer require an inpatient bed.</w:t>
            </w:r>
          </w:p>
        </w:tc>
      </w:tr>
      <w:tr w:rsidR="005608CD" w:rsidRPr="005608CD" w14:paraId="3481E61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A72199D"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ED</w:t>
            </w:r>
          </w:p>
        </w:tc>
        <w:tc>
          <w:tcPr>
            <w:tcW w:w="8220" w:type="dxa"/>
            <w:vAlign w:val="center"/>
            <w:hideMark/>
          </w:tcPr>
          <w:p w14:paraId="164D74AE"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Emergency Department. A hospital-based service providing assessment and treatment for urgent and emergency conditions (also referred to as A&amp;E).</w:t>
            </w:r>
          </w:p>
        </w:tc>
      </w:tr>
      <w:tr w:rsidR="005608CD" w:rsidRPr="005608CD" w14:paraId="41F134AB"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665DB7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EDD</w:t>
            </w:r>
          </w:p>
        </w:tc>
        <w:tc>
          <w:tcPr>
            <w:tcW w:w="8220" w:type="dxa"/>
            <w:vAlign w:val="center"/>
            <w:hideMark/>
          </w:tcPr>
          <w:p w14:paraId="3CA285BB"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Expected Discharge Date. The planned date a patient is expected to leave hospital, agreed early in their admission to support discharge planning.</w:t>
            </w:r>
          </w:p>
        </w:tc>
      </w:tr>
      <w:tr w:rsidR="005608CD" w:rsidRPr="005608CD" w14:paraId="34B02A03"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5D7E66E0"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lastRenderedPageBreak/>
              <w:t>EFI</w:t>
            </w:r>
          </w:p>
        </w:tc>
        <w:tc>
          <w:tcPr>
            <w:tcW w:w="8220" w:type="dxa"/>
            <w:noWrap/>
            <w:vAlign w:val="center"/>
            <w:hideMark/>
          </w:tcPr>
          <w:p w14:paraId="553D88A6"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Electronic Frailty Index. digital tool for identifying patients living with frailty.</w:t>
            </w:r>
          </w:p>
        </w:tc>
      </w:tr>
      <w:tr w:rsidR="005608CD" w:rsidRPr="005608CD" w14:paraId="3316B39D"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5488988"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EOC</w:t>
            </w:r>
          </w:p>
        </w:tc>
        <w:tc>
          <w:tcPr>
            <w:tcW w:w="8220" w:type="dxa"/>
            <w:vAlign w:val="center"/>
            <w:hideMark/>
          </w:tcPr>
          <w:p w14:paraId="2AD11B72"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Emergency Operations Centre. Coordinates ambulance dispatch and other emergency responses.</w:t>
            </w:r>
          </w:p>
        </w:tc>
      </w:tr>
      <w:tr w:rsidR="005608CD" w:rsidRPr="005608CD" w14:paraId="21803E14"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8F567A7"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EPRR</w:t>
            </w:r>
          </w:p>
        </w:tc>
        <w:tc>
          <w:tcPr>
            <w:tcW w:w="8220" w:type="dxa"/>
            <w:vAlign w:val="center"/>
            <w:hideMark/>
          </w:tcPr>
          <w:p w14:paraId="49962E6F"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Emergency Preparedness, Resilience and Response. NHS and partner organisations’ arrangements for responding to major incidents and emergencies.</w:t>
            </w:r>
          </w:p>
        </w:tc>
      </w:tr>
      <w:tr w:rsidR="005608CD" w:rsidRPr="005608CD" w14:paraId="01E2D6AA"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4FDA525E"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ESR</w:t>
            </w:r>
          </w:p>
        </w:tc>
        <w:tc>
          <w:tcPr>
            <w:tcW w:w="8220" w:type="dxa"/>
            <w:noWrap/>
            <w:vAlign w:val="center"/>
            <w:hideMark/>
          </w:tcPr>
          <w:p w14:paraId="0596B67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Electronic Staff Record. NHS HR and payroll system.</w:t>
            </w:r>
          </w:p>
        </w:tc>
      </w:tr>
      <w:tr w:rsidR="005608CD" w:rsidRPr="005608CD" w14:paraId="13CF7DE9"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7651ECA7"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FAS</w:t>
            </w:r>
          </w:p>
        </w:tc>
        <w:tc>
          <w:tcPr>
            <w:tcW w:w="8220" w:type="dxa"/>
            <w:noWrap/>
            <w:vAlign w:val="center"/>
            <w:hideMark/>
          </w:tcPr>
          <w:p w14:paraId="3FF0CC04"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Frailty Assessment Service. specialist service assessing older or frail patients to avoid unnecessary admission.</w:t>
            </w:r>
          </w:p>
        </w:tc>
      </w:tr>
      <w:tr w:rsidR="005608CD" w:rsidRPr="005608CD" w14:paraId="02D5F107"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A1E1FED"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FDP</w:t>
            </w:r>
          </w:p>
        </w:tc>
        <w:tc>
          <w:tcPr>
            <w:tcW w:w="8220" w:type="dxa"/>
            <w:vAlign w:val="center"/>
            <w:hideMark/>
          </w:tcPr>
          <w:p w14:paraId="10BB7721"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Full Delivery Plan. A comprehensive plan detailing actions, timelines, and resources required for delivery.</w:t>
            </w:r>
          </w:p>
        </w:tc>
      </w:tr>
      <w:tr w:rsidR="005608CD" w:rsidRPr="005608CD" w14:paraId="6AADE9BD"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48C4A52"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GCC</w:t>
            </w:r>
          </w:p>
        </w:tc>
        <w:tc>
          <w:tcPr>
            <w:tcW w:w="8220" w:type="dxa"/>
            <w:vAlign w:val="center"/>
            <w:hideMark/>
          </w:tcPr>
          <w:p w14:paraId="750C0F25"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Gloucestershire County Council. local authority providing social care and public health services.</w:t>
            </w:r>
          </w:p>
        </w:tc>
      </w:tr>
      <w:tr w:rsidR="005608CD" w:rsidRPr="005608CD" w14:paraId="6057B440"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CECD5B2"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GHC</w:t>
            </w:r>
          </w:p>
        </w:tc>
        <w:tc>
          <w:tcPr>
            <w:tcW w:w="8220" w:type="dxa"/>
            <w:vAlign w:val="center"/>
            <w:hideMark/>
          </w:tcPr>
          <w:p w14:paraId="14CEE5EF"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Gloucestershire Health and Care NHS Foundation Trust. Provides community health, mental health, and learning disability services in Gloucestershire.</w:t>
            </w:r>
          </w:p>
        </w:tc>
      </w:tr>
      <w:tr w:rsidR="005608CD" w:rsidRPr="005608CD" w14:paraId="19D28B45"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FAADE7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GHFT</w:t>
            </w:r>
          </w:p>
        </w:tc>
        <w:tc>
          <w:tcPr>
            <w:tcW w:w="8220" w:type="dxa"/>
            <w:vAlign w:val="center"/>
            <w:hideMark/>
          </w:tcPr>
          <w:p w14:paraId="7924F4DC"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Gloucestershire Hospitals NHS Foundation Trust. Provides acute hospital services in Gloucestershire.</w:t>
            </w:r>
          </w:p>
        </w:tc>
      </w:tr>
      <w:tr w:rsidR="005608CD" w:rsidRPr="005608CD" w14:paraId="061D9E63"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D35868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GP</w:t>
            </w:r>
          </w:p>
        </w:tc>
        <w:tc>
          <w:tcPr>
            <w:tcW w:w="8220" w:type="dxa"/>
            <w:vAlign w:val="center"/>
            <w:hideMark/>
          </w:tcPr>
          <w:p w14:paraId="4977705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General Practitioner. A doctor who provides primary care services.</w:t>
            </w:r>
          </w:p>
        </w:tc>
      </w:tr>
      <w:tr w:rsidR="005608CD" w:rsidRPr="005608CD" w14:paraId="506DEA6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951FB3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GRH</w:t>
            </w:r>
          </w:p>
        </w:tc>
        <w:tc>
          <w:tcPr>
            <w:tcW w:w="8220" w:type="dxa"/>
            <w:vAlign w:val="center"/>
            <w:hideMark/>
          </w:tcPr>
          <w:p w14:paraId="191EDF6C"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Gloucestershire Royal Hospital. main acute hospital in the county.</w:t>
            </w:r>
          </w:p>
        </w:tc>
      </w:tr>
      <w:tr w:rsidR="005608CD" w:rsidRPr="005608CD" w14:paraId="7092A4ED"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3C760A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HALO</w:t>
            </w:r>
          </w:p>
        </w:tc>
        <w:tc>
          <w:tcPr>
            <w:tcW w:w="8220" w:type="dxa"/>
            <w:vAlign w:val="center"/>
            <w:hideMark/>
          </w:tcPr>
          <w:p w14:paraId="32D355E3"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Hospital Ambulance Liaison Officer. Coordinates ambulance arrivals and handovers at hospital sites.</w:t>
            </w:r>
          </w:p>
        </w:tc>
      </w:tr>
      <w:tr w:rsidR="005608CD" w:rsidRPr="005608CD" w14:paraId="7AE1607D"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4CE1288"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HDU</w:t>
            </w:r>
          </w:p>
        </w:tc>
        <w:tc>
          <w:tcPr>
            <w:tcW w:w="8220" w:type="dxa"/>
            <w:vAlign w:val="center"/>
            <w:hideMark/>
          </w:tcPr>
          <w:p w14:paraId="30A9BDC1"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High Dependency Unit. Provides a higher level of care than a general ward, for patients who need close monitoring.</w:t>
            </w:r>
          </w:p>
        </w:tc>
      </w:tr>
      <w:tr w:rsidR="005608CD" w:rsidRPr="005608CD" w14:paraId="41D96F1A"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33F9146"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HIU</w:t>
            </w:r>
          </w:p>
        </w:tc>
        <w:tc>
          <w:tcPr>
            <w:tcW w:w="8220" w:type="dxa"/>
            <w:vAlign w:val="center"/>
            <w:hideMark/>
          </w:tcPr>
          <w:p w14:paraId="28B4F9A1"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High Intensity User. Patients who frequently access urgent and emergency care services.</w:t>
            </w:r>
          </w:p>
        </w:tc>
      </w:tr>
      <w:tr w:rsidR="005608CD" w:rsidRPr="005608CD" w14:paraId="26BD17A2"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D881B9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ICB</w:t>
            </w:r>
          </w:p>
        </w:tc>
        <w:tc>
          <w:tcPr>
            <w:tcW w:w="8220" w:type="dxa"/>
            <w:vAlign w:val="center"/>
            <w:hideMark/>
          </w:tcPr>
          <w:p w14:paraId="7996BC27"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Integrated Care Board. The statutory NHS organisation responsible for planning and funding health services in an Integrated Care System area.</w:t>
            </w:r>
          </w:p>
        </w:tc>
      </w:tr>
      <w:tr w:rsidR="005608CD" w:rsidRPr="005608CD" w14:paraId="082F50E1"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F40783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ICS</w:t>
            </w:r>
          </w:p>
        </w:tc>
        <w:tc>
          <w:tcPr>
            <w:tcW w:w="8220" w:type="dxa"/>
            <w:vAlign w:val="center"/>
            <w:hideMark/>
          </w:tcPr>
          <w:p w14:paraId="2751CCEC"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Integrated Care System. Partnerships of health and care organisations working together to plan and deliver joined-up services.</w:t>
            </w:r>
          </w:p>
        </w:tc>
      </w:tr>
      <w:tr w:rsidR="005608CD" w:rsidRPr="005608CD" w14:paraId="47D26E2C"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A3E84B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ICU</w:t>
            </w:r>
          </w:p>
        </w:tc>
        <w:tc>
          <w:tcPr>
            <w:tcW w:w="8220" w:type="dxa"/>
            <w:vAlign w:val="center"/>
            <w:hideMark/>
          </w:tcPr>
          <w:p w14:paraId="6B76CE3A"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Intensive Care Unit. A specialist hospital ward providing continuous, intensive monitoring and life support for critically ill patients.</w:t>
            </w:r>
          </w:p>
        </w:tc>
      </w:tr>
      <w:tr w:rsidR="005608CD" w:rsidRPr="005608CD" w14:paraId="2CCD9C31"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ED9656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IFH</w:t>
            </w:r>
          </w:p>
        </w:tc>
        <w:tc>
          <w:tcPr>
            <w:tcW w:w="8220" w:type="dxa"/>
            <w:vAlign w:val="center"/>
            <w:hideMark/>
          </w:tcPr>
          <w:p w14:paraId="2514DF7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Integrated Flow Hub. A central coordination function managing patient flow across acute, community, and social care.</w:t>
            </w:r>
          </w:p>
        </w:tc>
      </w:tr>
      <w:tr w:rsidR="005608CD" w:rsidRPr="005608CD" w14:paraId="431A4AB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6EDD3F9"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IMT</w:t>
            </w:r>
          </w:p>
        </w:tc>
        <w:tc>
          <w:tcPr>
            <w:tcW w:w="8220" w:type="dxa"/>
            <w:vAlign w:val="center"/>
            <w:hideMark/>
          </w:tcPr>
          <w:p w14:paraId="4CE9DEEF"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Incident Management Team. group coordinating response during incidents.</w:t>
            </w:r>
          </w:p>
        </w:tc>
      </w:tr>
      <w:tr w:rsidR="005608CD" w:rsidRPr="005608CD" w14:paraId="2446DEE7"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2B245A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IPC</w:t>
            </w:r>
          </w:p>
        </w:tc>
        <w:tc>
          <w:tcPr>
            <w:tcW w:w="8220" w:type="dxa"/>
            <w:vAlign w:val="center"/>
            <w:hideMark/>
          </w:tcPr>
          <w:p w14:paraId="6C26B6FC"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Infection Prevention and Control. Measures to prevent the spread of infections in healthcare settings.</w:t>
            </w:r>
          </w:p>
        </w:tc>
      </w:tr>
      <w:tr w:rsidR="005608CD" w:rsidRPr="005608CD" w14:paraId="6E202688"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DE21969"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IUCS</w:t>
            </w:r>
          </w:p>
        </w:tc>
        <w:tc>
          <w:tcPr>
            <w:tcW w:w="8220" w:type="dxa"/>
            <w:vAlign w:val="center"/>
            <w:hideMark/>
          </w:tcPr>
          <w:p w14:paraId="75F5B4A5"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Integrated Urgent Care Service. Combines NHS 111 and GP out-of-hours services into a single urgent care offer.</w:t>
            </w:r>
          </w:p>
        </w:tc>
      </w:tr>
      <w:tr w:rsidR="005608CD" w:rsidRPr="005608CD" w14:paraId="08861ACC"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27334B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JCVI</w:t>
            </w:r>
          </w:p>
        </w:tc>
        <w:tc>
          <w:tcPr>
            <w:tcW w:w="8220" w:type="dxa"/>
            <w:vAlign w:val="center"/>
            <w:hideMark/>
          </w:tcPr>
          <w:p w14:paraId="78B9BC9F"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Joint Committee on Vaccination and Immunisation. UK advisory body on vaccination.</w:t>
            </w:r>
          </w:p>
        </w:tc>
      </w:tr>
      <w:tr w:rsidR="005608CD" w:rsidRPr="005608CD" w14:paraId="2F550937"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BBEC17A"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KLOE</w:t>
            </w:r>
          </w:p>
        </w:tc>
        <w:tc>
          <w:tcPr>
            <w:tcW w:w="8220" w:type="dxa"/>
            <w:vAlign w:val="center"/>
            <w:hideMark/>
          </w:tcPr>
          <w:p w14:paraId="00113619"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Key Lines of Enquiry. A framework used for assessing and assuring service delivery, often used in NHS operational reviews and winter planning.</w:t>
            </w:r>
          </w:p>
        </w:tc>
      </w:tr>
      <w:tr w:rsidR="005608CD" w:rsidRPr="005608CD" w14:paraId="5077BB0F"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C4F5C4B"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LOS</w:t>
            </w:r>
          </w:p>
        </w:tc>
        <w:tc>
          <w:tcPr>
            <w:tcW w:w="8220" w:type="dxa"/>
            <w:vAlign w:val="center"/>
            <w:hideMark/>
          </w:tcPr>
          <w:p w14:paraId="3B94A481"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Length of Stay. The duration of a patient’s admission in hospital.</w:t>
            </w:r>
          </w:p>
        </w:tc>
      </w:tr>
      <w:tr w:rsidR="005608CD" w:rsidRPr="005608CD" w14:paraId="1294B470"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C501242"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MDT</w:t>
            </w:r>
          </w:p>
        </w:tc>
        <w:tc>
          <w:tcPr>
            <w:tcW w:w="8220" w:type="dxa"/>
            <w:vAlign w:val="center"/>
            <w:hideMark/>
          </w:tcPr>
          <w:p w14:paraId="46D91F5B"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Multi-Disciplinary Team. A group of professionals from different specialities working together to plan and deliver care.</w:t>
            </w:r>
          </w:p>
        </w:tc>
      </w:tr>
      <w:tr w:rsidR="005608CD" w:rsidRPr="005608CD" w14:paraId="62F6BC11"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DDAE00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MECC</w:t>
            </w:r>
          </w:p>
        </w:tc>
        <w:tc>
          <w:tcPr>
            <w:tcW w:w="8220" w:type="dxa"/>
            <w:vAlign w:val="center"/>
            <w:hideMark/>
          </w:tcPr>
          <w:p w14:paraId="00D0BD31"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Making Every Contact Count. An approach where health and care professionals use routine interactions to promote healthy lifestyle choices.</w:t>
            </w:r>
          </w:p>
        </w:tc>
      </w:tr>
      <w:tr w:rsidR="005608CD" w:rsidRPr="005608CD" w14:paraId="45139A4A"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E99CC0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MIIU</w:t>
            </w:r>
          </w:p>
        </w:tc>
        <w:tc>
          <w:tcPr>
            <w:tcW w:w="8220" w:type="dxa"/>
            <w:vAlign w:val="center"/>
            <w:hideMark/>
          </w:tcPr>
          <w:p w14:paraId="5D3493B6"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Minor Injuries and Illness Unit. Provides urgent care for minor injuries and illnesses, avoiding the need for ED attendance.</w:t>
            </w:r>
          </w:p>
        </w:tc>
      </w:tr>
      <w:tr w:rsidR="005608CD" w:rsidRPr="005608CD" w14:paraId="7BD61AB2"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1C12D550"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MOPEL</w:t>
            </w:r>
          </w:p>
        </w:tc>
        <w:tc>
          <w:tcPr>
            <w:tcW w:w="8220" w:type="dxa"/>
            <w:noWrap/>
            <w:vAlign w:val="center"/>
            <w:hideMark/>
          </w:tcPr>
          <w:p w14:paraId="198E1C0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Mental Health OPEL. escalation framework for mental health capacity pressures.</w:t>
            </w:r>
          </w:p>
        </w:tc>
      </w:tr>
      <w:tr w:rsidR="005608CD" w:rsidRPr="005608CD" w14:paraId="2C97CDE5"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5FCB1CEB"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lastRenderedPageBreak/>
              <w:t>NHSE</w:t>
            </w:r>
          </w:p>
        </w:tc>
        <w:tc>
          <w:tcPr>
            <w:tcW w:w="8220" w:type="dxa"/>
            <w:vAlign w:val="center"/>
            <w:hideMark/>
          </w:tcPr>
          <w:p w14:paraId="0E213FC3"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NHS England. The national body responsible for overseeing the NHS in England.</w:t>
            </w:r>
          </w:p>
        </w:tc>
      </w:tr>
      <w:tr w:rsidR="005608CD" w:rsidRPr="005608CD" w14:paraId="3C349C55"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56C28A8E"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OAP</w:t>
            </w:r>
          </w:p>
        </w:tc>
        <w:tc>
          <w:tcPr>
            <w:tcW w:w="8220" w:type="dxa"/>
            <w:vAlign w:val="center"/>
            <w:hideMark/>
          </w:tcPr>
          <w:p w14:paraId="004A448E"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Out-of-Area Placement. When a patient is placed in a hospital or care setting outside their home area due to capacity or specialist need.</w:t>
            </w:r>
          </w:p>
        </w:tc>
      </w:tr>
      <w:tr w:rsidR="005608CD" w:rsidRPr="005608CD" w14:paraId="7FCABB63"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95E2AD1"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OOH</w:t>
            </w:r>
          </w:p>
        </w:tc>
        <w:tc>
          <w:tcPr>
            <w:tcW w:w="8220" w:type="dxa"/>
            <w:vAlign w:val="center"/>
            <w:hideMark/>
          </w:tcPr>
          <w:p w14:paraId="3C9D7628"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Out of Hours. Health services provided outside normal working hours, including GP services, urgent care, and community nursing.</w:t>
            </w:r>
          </w:p>
        </w:tc>
      </w:tr>
      <w:tr w:rsidR="005608CD" w:rsidRPr="005608CD" w14:paraId="54E5E0E9"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F83C38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OPEL</w:t>
            </w:r>
          </w:p>
        </w:tc>
        <w:tc>
          <w:tcPr>
            <w:tcW w:w="8220" w:type="dxa"/>
            <w:vAlign w:val="center"/>
            <w:hideMark/>
          </w:tcPr>
          <w:p w14:paraId="1CF09737"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Operational Pressures Escalation Levels. A national framework to describe and manage pressure in urgent and emergency care systems.</w:t>
            </w:r>
          </w:p>
        </w:tc>
      </w:tr>
      <w:tr w:rsidR="005608CD" w:rsidRPr="005608CD" w14:paraId="0B36293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1F232D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OPTICA</w:t>
            </w:r>
          </w:p>
        </w:tc>
        <w:tc>
          <w:tcPr>
            <w:tcW w:w="8220" w:type="dxa"/>
            <w:vAlign w:val="center"/>
            <w:hideMark/>
          </w:tcPr>
          <w:p w14:paraId="139661E4"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Optimising Patient Transfers, Improving Care and Access. A local operational programme aimed at improving hospital discharge and patient flow.</w:t>
            </w:r>
          </w:p>
        </w:tc>
      </w:tr>
      <w:tr w:rsidR="005608CD" w:rsidRPr="005608CD" w14:paraId="624CF9D6"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7D8F8F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PAU</w:t>
            </w:r>
          </w:p>
        </w:tc>
        <w:tc>
          <w:tcPr>
            <w:tcW w:w="8220" w:type="dxa"/>
            <w:vAlign w:val="center"/>
            <w:hideMark/>
          </w:tcPr>
          <w:p w14:paraId="19D382C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Paediatric Assessment Unit. Provides rapid assessment and short-term care for children.</w:t>
            </w:r>
          </w:p>
        </w:tc>
      </w:tr>
      <w:tr w:rsidR="005608CD" w:rsidRPr="005608CD" w14:paraId="7EE4AF97"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E19760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PCN</w:t>
            </w:r>
          </w:p>
        </w:tc>
        <w:tc>
          <w:tcPr>
            <w:tcW w:w="8220" w:type="dxa"/>
            <w:noWrap/>
            <w:vAlign w:val="center"/>
            <w:hideMark/>
          </w:tcPr>
          <w:p w14:paraId="71D120D0"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Primary Care Network. group of GP practices working together with community partners.</w:t>
            </w:r>
          </w:p>
        </w:tc>
      </w:tr>
      <w:tr w:rsidR="005608CD" w:rsidRPr="005608CD" w14:paraId="4895D3F3"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2631209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PICU</w:t>
            </w:r>
          </w:p>
        </w:tc>
        <w:tc>
          <w:tcPr>
            <w:tcW w:w="8220" w:type="dxa"/>
            <w:noWrap/>
            <w:vAlign w:val="center"/>
            <w:hideMark/>
          </w:tcPr>
          <w:p w14:paraId="45BB96D2"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Paediatric Intensive Care Unit. specialist unit providing critical care for children.</w:t>
            </w:r>
          </w:p>
        </w:tc>
      </w:tr>
      <w:tr w:rsidR="005608CD" w:rsidRPr="005608CD" w14:paraId="0B1B0E97"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6F0ED11"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RSV</w:t>
            </w:r>
          </w:p>
        </w:tc>
        <w:tc>
          <w:tcPr>
            <w:tcW w:w="8220" w:type="dxa"/>
            <w:vAlign w:val="center"/>
            <w:hideMark/>
          </w:tcPr>
          <w:p w14:paraId="53C36C35"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Respiratory Syncytial Virus. A common respiratory virus that can cause serious illness in infants and older adults.</w:t>
            </w:r>
          </w:p>
        </w:tc>
      </w:tr>
      <w:tr w:rsidR="005608CD" w:rsidRPr="005608CD" w14:paraId="6DD67358"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80B6876"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SAIS</w:t>
            </w:r>
          </w:p>
        </w:tc>
        <w:tc>
          <w:tcPr>
            <w:tcW w:w="8220" w:type="dxa"/>
            <w:vAlign w:val="center"/>
            <w:hideMark/>
          </w:tcPr>
          <w:p w14:paraId="58B333C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School Aged Immunisation Service. Provides vaccinations to children and young people within school or community settings.</w:t>
            </w:r>
          </w:p>
        </w:tc>
      </w:tr>
      <w:tr w:rsidR="005608CD" w:rsidRPr="005608CD" w14:paraId="1AD028E9"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5713E231"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SDEC</w:t>
            </w:r>
          </w:p>
        </w:tc>
        <w:tc>
          <w:tcPr>
            <w:tcW w:w="8220" w:type="dxa"/>
            <w:vAlign w:val="center"/>
            <w:hideMark/>
          </w:tcPr>
          <w:p w14:paraId="30D948F2"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Same Day Emergency Care. Clinical pathways that allow patients to be assessed, diagnosed, and treated without being admitted overnight.</w:t>
            </w:r>
          </w:p>
        </w:tc>
      </w:tr>
      <w:tr w:rsidR="005608CD" w:rsidRPr="005608CD" w14:paraId="270BC24E"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EBE2093"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SEG</w:t>
            </w:r>
          </w:p>
        </w:tc>
        <w:tc>
          <w:tcPr>
            <w:tcW w:w="8220" w:type="dxa"/>
            <w:vAlign w:val="center"/>
            <w:hideMark/>
          </w:tcPr>
          <w:p w14:paraId="1EF48E82"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System Escalation Group. Oversees escalation decisions across the ICS during periods of pressure.</w:t>
            </w:r>
          </w:p>
        </w:tc>
      </w:tr>
      <w:tr w:rsidR="005608CD" w:rsidRPr="005608CD" w14:paraId="71E6ACA0"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92A0334"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SHREWD</w:t>
            </w:r>
          </w:p>
        </w:tc>
        <w:tc>
          <w:tcPr>
            <w:tcW w:w="8220" w:type="dxa"/>
            <w:vAlign w:val="center"/>
            <w:hideMark/>
          </w:tcPr>
          <w:p w14:paraId="2BC9A5B4"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Single Health Resilience Early Warning Database. A system for real-time monitoring of healthcare system status.</w:t>
            </w:r>
          </w:p>
        </w:tc>
      </w:tr>
      <w:tr w:rsidR="005608CD" w:rsidRPr="005608CD" w14:paraId="4ABA58C0"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97965D8"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SOP</w:t>
            </w:r>
          </w:p>
        </w:tc>
        <w:tc>
          <w:tcPr>
            <w:tcW w:w="8220" w:type="dxa"/>
            <w:vAlign w:val="center"/>
            <w:hideMark/>
          </w:tcPr>
          <w:p w14:paraId="0144E2B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Standard Operating Procedure. A set of step-by-step instructions for routine or emergency processes.</w:t>
            </w:r>
          </w:p>
        </w:tc>
      </w:tr>
      <w:tr w:rsidR="005608CD" w:rsidRPr="005608CD" w14:paraId="574354EF"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9EBA886"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SPCA</w:t>
            </w:r>
          </w:p>
        </w:tc>
        <w:tc>
          <w:tcPr>
            <w:tcW w:w="8220" w:type="dxa"/>
            <w:vAlign w:val="center"/>
            <w:hideMark/>
          </w:tcPr>
          <w:p w14:paraId="10ACFBC4"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Single Point of Clinical Access. A central hub for clinical referrals and triage into urgent and community services.</w:t>
            </w:r>
          </w:p>
        </w:tc>
      </w:tr>
      <w:tr w:rsidR="005608CD" w:rsidRPr="005608CD" w14:paraId="2FD3F81C"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D1E40A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SPOA</w:t>
            </w:r>
          </w:p>
        </w:tc>
        <w:tc>
          <w:tcPr>
            <w:tcW w:w="8220" w:type="dxa"/>
            <w:vAlign w:val="center"/>
            <w:hideMark/>
          </w:tcPr>
          <w:p w14:paraId="1CA2E265"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Single Point of Access. Central contact point for coordinating referrals and patient access to services.</w:t>
            </w:r>
          </w:p>
        </w:tc>
      </w:tr>
      <w:tr w:rsidR="005608CD" w:rsidRPr="005608CD" w14:paraId="2DFCBA02"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1E22595"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SWAST</w:t>
            </w:r>
          </w:p>
        </w:tc>
        <w:tc>
          <w:tcPr>
            <w:tcW w:w="8220" w:type="dxa"/>
            <w:vAlign w:val="center"/>
            <w:hideMark/>
          </w:tcPr>
          <w:p w14:paraId="0BC8B60D"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proofErr w:type="gramStart"/>
            <w:r w:rsidRPr="005608CD">
              <w:rPr>
                <w:rFonts w:ascii="Arial" w:hAnsi="Arial" w:cs="Arial"/>
                <w:snapToGrid/>
                <w:color w:val="000000"/>
                <w:sz w:val="22"/>
                <w:szCs w:val="22"/>
                <w:lang w:eastAsia="en-GB"/>
              </w:rPr>
              <w:t>South Western</w:t>
            </w:r>
            <w:proofErr w:type="gramEnd"/>
            <w:r w:rsidRPr="005608CD">
              <w:rPr>
                <w:rFonts w:ascii="Arial" w:hAnsi="Arial" w:cs="Arial"/>
                <w:snapToGrid/>
                <w:color w:val="000000"/>
                <w:sz w:val="22"/>
                <w:szCs w:val="22"/>
                <w:lang w:eastAsia="en-GB"/>
              </w:rPr>
              <w:t xml:space="preserve"> Ambulance Service NHS Foundation Trust. Provides emergency and urgent ambulance services across the </w:t>
            </w:r>
            <w:proofErr w:type="gramStart"/>
            <w:r w:rsidRPr="005608CD">
              <w:rPr>
                <w:rFonts w:ascii="Arial" w:hAnsi="Arial" w:cs="Arial"/>
                <w:snapToGrid/>
                <w:color w:val="000000"/>
                <w:sz w:val="22"/>
                <w:szCs w:val="22"/>
                <w:lang w:eastAsia="en-GB"/>
              </w:rPr>
              <w:t>South West</w:t>
            </w:r>
            <w:proofErr w:type="gramEnd"/>
            <w:r w:rsidRPr="005608CD">
              <w:rPr>
                <w:rFonts w:ascii="Arial" w:hAnsi="Arial" w:cs="Arial"/>
                <w:snapToGrid/>
                <w:color w:val="000000"/>
                <w:sz w:val="22"/>
                <w:szCs w:val="22"/>
                <w:lang w:eastAsia="en-GB"/>
              </w:rPr>
              <w:t>.</w:t>
            </w:r>
          </w:p>
        </w:tc>
      </w:tr>
      <w:tr w:rsidR="005608CD" w:rsidRPr="005608CD" w14:paraId="0EE34D06"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5378BBC9"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TEG</w:t>
            </w:r>
          </w:p>
        </w:tc>
        <w:tc>
          <w:tcPr>
            <w:tcW w:w="8220" w:type="dxa"/>
            <w:vAlign w:val="center"/>
            <w:hideMark/>
          </w:tcPr>
          <w:p w14:paraId="59C8FEC9"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Tactical Executive Group. Oversees the tactical-level coordination of health and care services during incidents or high-pressure periods.</w:t>
            </w:r>
          </w:p>
        </w:tc>
      </w:tr>
      <w:tr w:rsidR="005608CD" w:rsidRPr="005608CD" w14:paraId="38648C38"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10E9727"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THP</w:t>
            </w:r>
          </w:p>
        </w:tc>
        <w:tc>
          <w:tcPr>
            <w:tcW w:w="8220" w:type="dxa"/>
            <w:vAlign w:val="center"/>
            <w:hideMark/>
          </w:tcPr>
          <w:p w14:paraId="67C980F1"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Timely Handover Process. A national programme focused on improving ambulance handover times and returning vehicles to operational readiness.</w:t>
            </w:r>
          </w:p>
        </w:tc>
      </w:tr>
      <w:tr w:rsidR="005608CD" w:rsidRPr="005608CD" w14:paraId="19B4C8ED"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464250D"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UCR</w:t>
            </w:r>
          </w:p>
        </w:tc>
        <w:tc>
          <w:tcPr>
            <w:tcW w:w="8220" w:type="dxa"/>
            <w:vAlign w:val="center"/>
            <w:hideMark/>
          </w:tcPr>
          <w:p w14:paraId="10EE1BFF"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Urgent Community Response. A service providing rapid crisis care in the community within two hours.</w:t>
            </w:r>
          </w:p>
        </w:tc>
      </w:tr>
      <w:tr w:rsidR="005608CD" w:rsidRPr="005608CD" w14:paraId="2E209BF4"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478CE3EB"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UEC</w:t>
            </w:r>
          </w:p>
        </w:tc>
        <w:tc>
          <w:tcPr>
            <w:tcW w:w="8220" w:type="dxa"/>
            <w:vAlign w:val="center"/>
            <w:hideMark/>
          </w:tcPr>
          <w:p w14:paraId="03109494"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Urgent and Emergency Care. NHS services that respond to people with serious or life-threatening health needs.</w:t>
            </w:r>
          </w:p>
        </w:tc>
      </w:tr>
      <w:tr w:rsidR="005608CD" w:rsidRPr="005608CD" w14:paraId="427E84F7"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40B9D3C"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UKHSA</w:t>
            </w:r>
          </w:p>
        </w:tc>
        <w:tc>
          <w:tcPr>
            <w:tcW w:w="8220" w:type="dxa"/>
            <w:vAlign w:val="center"/>
            <w:hideMark/>
          </w:tcPr>
          <w:p w14:paraId="3C9BDD1D"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UK Health Security Agency. A government agency responsible for public health protection and infectious disease response.</w:t>
            </w:r>
          </w:p>
        </w:tc>
      </w:tr>
      <w:tr w:rsidR="005608CD" w:rsidRPr="005608CD" w14:paraId="4950BE6E"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0ABFD2FF"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UTC</w:t>
            </w:r>
          </w:p>
        </w:tc>
        <w:tc>
          <w:tcPr>
            <w:tcW w:w="8220" w:type="dxa"/>
            <w:noWrap/>
            <w:vAlign w:val="center"/>
            <w:hideMark/>
          </w:tcPr>
          <w:p w14:paraId="7C0E3D40"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Urgent Treatment Centre. walk-in facility for urgent but non-life-threatening conditions.</w:t>
            </w:r>
          </w:p>
        </w:tc>
      </w:tr>
      <w:tr w:rsidR="005608CD" w:rsidRPr="005608CD" w14:paraId="11AB2865" w14:textId="77777777" w:rsidTr="00D0424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14:paraId="39A6574E"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VW</w:t>
            </w:r>
          </w:p>
        </w:tc>
        <w:tc>
          <w:tcPr>
            <w:tcW w:w="8220" w:type="dxa"/>
            <w:noWrap/>
            <w:vAlign w:val="center"/>
            <w:hideMark/>
          </w:tcPr>
          <w:p w14:paraId="3D7020E8" w14:textId="77777777" w:rsidR="005608CD" w:rsidRPr="005608CD" w:rsidRDefault="005608CD" w:rsidP="00243106">
            <w:pPr>
              <w:widowControl/>
              <w:cnfStyle w:val="000000100000" w:firstRow="0" w:lastRow="0" w:firstColumn="0" w:lastColumn="0" w:oddVBand="0" w:evenVBand="0" w:oddHBand="1" w:evenHBand="0" w:firstRowFirstColumn="0" w:firstRowLastColumn="0" w:lastRowFirstColumn="0" w:lastRowLastColumn="0"/>
              <w:rPr>
                <w:rFonts w:ascii="Arial" w:hAnsi="Arial" w:cs="Arial"/>
                <w:snapToGrid/>
                <w:color w:val="000000"/>
                <w:sz w:val="22"/>
                <w:szCs w:val="22"/>
                <w:lang w:eastAsia="en-GB"/>
              </w:rPr>
            </w:pPr>
            <w:r w:rsidRPr="005608CD">
              <w:rPr>
                <w:rFonts w:ascii="Arial" w:hAnsi="Arial" w:cs="Arial"/>
                <w:snapToGrid/>
                <w:color w:val="000000"/>
                <w:sz w:val="22"/>
                <w:szCs w:val="22"/>
                <w:lang w:eastAsia="en-GB"/>
              </w:rPr>
              <w:t>Virtual Ward. technology-enabled remote monitoring allowing patients to be cared for at home.</w:t>
            </w:r>
          </w:p>
        </w:tc>
      </w:tr>
      <w:tr w:rsidR="005608CD" w:rsidRPr="005608CD" w14:paraId="6227CF7A" w14:textId="77777777" w:rsidTr="00D04244">
        <w:trPr>
          <w:trHeight w:val="51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E396270" w14:textId="77777777" w:rsidR="005608CD" w:rsidRPr="005608CD" w:rsidRDefault="005608CD" w:rsidP="00243106">
            <w:pPr>
              <w:widowControl/>
              <w:rPr>
                <w:rFonts w:ascii="Arial" w:hAnsi="Arial" w:cs="Arial"/>
                <w:snapToGrid/>
                <w:color w:val="000000"/>
                <w:sz w:val="22"/>
                <w:szCs w:val="22"/>
                <w:lang w:eastAsia="en-GB"/>
              </w:rPr>
            </w:pPr>
            <w:r w:rsidRPr="005608CD">
              <w:rPr>
                <w:rFonts w:ascii="Arial" w:hAnsi="Arial" w:cs="Arial"/>
                <w:snapToGrid/>
                <w:color w:val="000000"/>
                <w:sz w:val="22"/>
                <w:szCs w:val="22"/>
                <w:lang w:eastAsia="en-GB"/>
              </w:rPr>
              <w:t>XCAD</w:t>
            </w:r>
          </w:p>
        </w:tc>
        <w:tc>
          <w:tcPr>
            <w:tcW w:w="8220" w:type="dxa"/>
            <w:vAlign w:val="center"/>
            <w:hideMark/>
          </w:tcPr>
          <w:p w14:paraId="2A8241EC" w14:textId="77777777" w:rsidR="005608CD" w:rsidRPr="005608CD" w:rsidRDefault="005608CD" w:rsidP="00243106">
            <w:pPr>
              <w:widowControl/>
              <w:cnfStyle w:val="000000000000" w:firstRow="0" w:lastRow="0" w:firstColumn="0" w:lastColumn="0" w:oddVBand="0" w:evenVBand="0" w:oddHBand="0" w:evenHBand="0" w:firstRowFirstColumn="0" w:firstRowLastColumn="0" w:lastRowFirstColumn="0" w:lastRowLastColumn="0"/>
              <w:rPr>
                <w:rFonts w:ascii="Arial" w:hAnsi="Arial" w:cs="Arial"/>
                <w:snapToGrid/>
                <w:color w:val="000000"/>
                <w:sz w:val="22"/>
                <w:szCs w:val="22"/>
                <w:lang w:eastAsia="en-GB"/>
              </w:rPr>
            </w:pPr>
            <w:proofErr w:type="spellStart"/>
            <w:r w:rsidRPr="005608CD">
              <w:rPr>
                <w:rFonts w:ascii="Arial" w:hAnsi="Arial" w:cs="Arial"/>
                <w:snapToGrid/>
                <w:color w:val="000000"/>
                <w:sz w:val="22"/>
                <w:szCs w:val="22"/>
                <w:lang w:eastAsia="en-GB"/>
              </w:rPr>
              <w:t>eXpected</w:t>
            </w:r>
            <w:proofErr w:type="spellEnd"/>
            <w:r w:rsidRPr="005608CD">
              <w:rPr>
                <w:rFonts w:ascii="Arial" w:hAnsi="Arial" w:cs="Arial"/>
                <w:snapToGrid/>
                <w:color w:val="000000"/>
                <w:sz w:val="22"/>
                <w:szCs w:val="22"/>
                <w:lang w:eastAsia="en-GB"/>
              </w:rPr>
              <w:t xml:space="preserve"> Capacity and Demand system. A tool used for real-time monitoring of hospital capacity and demand.</w:t>
            </w:r>
          </w:p>
        </w:tc>
      </w:tr>
    </w:tbl>
    <w:p w14:paraId="07155927" w14:textId="43D7A677" w:rsidR="00924D11" w:rsidRPr="00067A72" w:rsidRDefault="00924D11" w:rsidP="00924D11">
      <w:pPr>
        <w:jc w:val="both"/>
        <w:rPr>
          <w:rFonts w:ascii="Arial" w:eastAsia="MS Mincho" w:hAnsi="Arial" w:cs="Arial"/>
        </w:rPr>
      </w:pPr>
    </w:p>
    <w:sectPr w:rsidR="00924D11" w:rsidRPr="00067A72" w:rsidSect="00267187">
      <w:headerReference w:type="default" r:id="rId23"/>
      <w:footerReference w:type="default" r:id="rId24"/>
      <w:endnotePr>
        <w:numFmt w:val="decimal"/>
      </w:endnotePr>
      <w:pgSz w:w="11907" w:h="16840" w:code="9"/>
      <w:pgMar w:top="1110" w:right="1418" w:bottom="851" w:left="1418" w:header="1417"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E5FC" w14:textId="77777777" w:rsidR="00890CCC" w:rsidRDefault="00890CCC">
      <w:pPr>
        <w:spacing w:line="20" w:lineRule="exact"/>
      </w:pPr>
    </w:p>
  </w:endnote>
  <w:endnote w:type="continuationSeparator" w:id="0">
    <w:p w14:paraId="200DDCE1" w14:textId="77777777" w:rsidR="00890CCC" w:rsidRDefault="00890CCC">
      <w:r>
        <w:t xml:space="preserve"> </w:t>
      </w:r>
    </w:p>
  </w:endnote>
  <w:endnote w:type="continuationNotice" w:id="1">
    <w:p w14:paraId="6C1B6861" w14:textId="77777777" w:rsidR="00890CCC" w:rsidRDefault="00890CC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536239"/>
      <w:docPartObj>
        <w:docPartGallery w:val="Page Numbers (Bottom of Page)"/>
        <w:docPartUnique/>
      </w:docPartObj>
    </w:sdtPr>
    <w:sdtEndPr>
      <w:rPr>
        <w:noProof/>
      </w:rPr>
    </w:sdtEndPr>
    <w:sdtContent>
      <w:p w14:paraId="06A12CDE" w14:textId="0684B85D" w:rsidR="00267187" w:rsidRDefault="0026718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0A2C93" w14:textId="26F6771D" w:rsidR="00106E43" w:rsidRDefault="00106E43" w:rsidP="006B519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5D3FF" w14:textId="77777777" w:rsidR="00890CCC" w:rsidRDefault="00890CCC">
      <w:r>
        <w:separator/>
      </w:r>
    </w:p>
  </w:footnote>
  <w:footnote w:type="continuationSeparator" w:id="0">
    <w:p w14:paraId="73977C1A" w14:textId="77777777" w:rsidR="00890CCC" w:rsidRDefault="0089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E99E" w14:textId="7298ED56" w:rsidR="00106E43" w:rsidRDefault="00106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60A97"/>
    <w:multiLevelType w:val="hybridMultilevel"/>
    <w:tmpl w:val="ECA03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BA1601"/>
    <w:multiLevelType w:val="hybridMultilevel"/>
    <w:tmpl w:val="91D8A06A"/>
    <w:lvl w:ilvl="0" w:tplc="94C60294">
      <w:start w:val="1"/>
      <w:numFmt w:val="decimal"/>
      <w:pStyle w:val="PolicyHeading"/>
      <w:lvlText w:val="%1."/>
      <w:lvlJc w:val="left"/>
      <w:pPr>
        <w:ind w:left="720" w:hanging="360"/>
      </w:pPr>
      <w:rPr>
        <w:rFonts w:ascii="Arial" w:eastAsia="Times New Roman" w:hAnsi="Arial"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BF3303"/>
    <w:multiLevelType w:val="hybridMultilevel"/>
    <w:tmpl w:val="64441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5F130A"/>
    <w:multiLevelType w:val="hybridMultilevel"/>
    <w:tmpl w:val="414C93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137CA6"/>
    <w:multiLevelType w:val="hybridMultilevel"/>
    <w:tmpl w:val="342AAC6A"/>
    <w:lvl w:ilvl="0" w:tplc="B9127F60">
      <w:start w:val="3"/>
      <w:numFmt w:val="decimal"/>
      <w:pStyle w:val="Heading6"/>
      <w:lvlText w:val="%1"/>
      <w:lvlJc w:val="left"/>
      <w:pPr>
        <w:tabs>
          <w:tab w:val="num" w:pos="567"/>
        </w:tabs>
        <w:ind w:left="567" w:hanging="567"/>
      </w:pPr>
      <w:rPr>
        <w:rFonts w:hint="default"/>
        <w:b/>
      </w:rPr>
    </w:lvl>
    <w:lvl w:ilvl="1" w:tplc="15108C1C" w:tentative="1">
      <w:start w:val="1"/>
      <w:numFmt w:val="lowerLetter"/>
      <w:lvlText w:val="%2."/>
      <w:lvlJc w:val="left"/>
      <w:pPr>
        <w:tabs>
          <w:tab w:val="num" w:pos="1440"/>
        </w:tabs>
        <w:ind w:left="1440" w:hanging="360"/>
      </w:pPr>
    </w:lvl>
    <w:lvl w:ilvl="2" w:tplc="955673DC" w:tentative="1">
      <w:start w:val="1"/>
      <w:numFmt w:val="lowerRoman"/>
      <w:lvlText w:val="%3."/>
      <w:lvlJc w:val="right"/>
      <w:pPr>
        <w:tabs>
          <w:tab w:val="num" w:pos="2160"/>
        </w:tabs>
        <w:ind w:left="2160" w:hanging="180"/>
      </w:pPr>
    </w:lvl>
    <w:lvl w:ilvl="3" w:tplc="396C3AAE" w:tentative="1">
      <w:start w:val="1"/>
      <w:numFmt w:val="decimal"/>
      <w:lvlText w:val="%4."/>
      <w:lvlJc w:val="left"/>
      <w:pPr>
        <w:tabs>
          <w:tab w:val="num" w:pos="2880"/>
        </w:tabs>
        <w:ind w:left="2880" w:hanging="360"/>
      </w:pPr>
    </w:lvl>
    <w:lvl w:ilvl="4" w:tplc="AB928798" w:tentative="1">
      <w:start w:val="1"/>
      <w:numFmt w:val="lowerLetter"/>
      <w:lvlText w:val="%5."/>
      <w:lvlJc w:val="left"/>
      <w:pPr>
        <w:tabs>
          <w:tab w:val="num" w:pos="3600"/>
        </w:tabs>
        <w:ind w:left="3600" w:hanging="360"/>
      </w:pPr>
    </w:lvl>
    <w:lvl w:ilvl="5" w:tplc="38B28186" w:tentative="1">
      <w:start w:val="1"/>
      <w:numFmt w:val="lowerRoman"/>
      <w:lvlText w:val="%6."/>
      <w:lvlJc w:val="right"/>
      <w:pPr>
        <w:tabs>
          <w:tab w:val="num" w:pos="4320"/>
        </w:tabs>
        <w:ind w:left="4320" w:hanging="180"/>
      </w:pPr>
    </w:lvl>
    <w:lvl w:ilvl="6" w:tplc="93CC8CAC" w:tentative="1">
      <w:start w:val="1"/>
      <w:numFmt w:val="decimal"/>
      <w:lvlText w:val="%7."/>
      <w:lvlJc w:val="left"/>
      <w:pPr>
        <w:tabs>
          <w:tab w:val="num" w:pos="5040"/>
        </w:tabs>
        <w:ind w:left="5040" w:hanging="360"/>
      </w:pPr>
    </w:lvl>
    <w:lvl w:ilvl="7" w:tplc="43EAFD58" w:tentative="1">
      <w:start w:val="1"/>
      <w:numFmt w:val="lowerLetter"/>
      <w:lvlText w:val="%8."/>
      <w:lvlJc w:val="left"/>
      <w:pPr>
        <w:tabs>
          <w:tab w:val="num" w:pos="5760"/>
        </w:tabs>
        <w:ind w:left="5760" w:hanging="360"/>
      </w:pPr>
    </w:lvl>
    <w:lvl w:ilvl="8" w:tplc="9B8A771A" w:tentative="1">
      <w:start w:val="1"/>
      <w:numFmt w:val="lowerRoman"/>
      <w:lvlText w:val="%9."/>
      <w:lvlJc w:val="right"/>
      <w:pPr>
        <w:tabs>
          <w:tab w:val="num" w:pos="6480"/>
        </w:tabs>
        <w:ind w:left="6480" w:hanging="180"/>
      </w:pPr>
    </w:lvl>
  </w:abstractNum>
  <w:abstractNum w:abstractNumId="5" w15:restartNumberingAfterBreak="0">
    <w:nsid w:val="36EC2B09"/>
    <w:multiLevelType w:val="hybridMultilevel"/>
    <w:tmpl w:val="57B0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CB379"/>
    <w:multiLevelType w:val="hybridMultilevel"/>
    <w:tmpl w:val="3B8A8EE2"/>
    <w:lvl w:ilvl="0" w:tplc="FB94ED9E">
      <w:start w:val="1"/>
      <w:numFmt w:val="bullet"/>
      <w:lvlText w:val=""/>
      <w:lvlJc w:val="left"/>
      <w:pPr>
        <w:ind w:left="720" w:hanging="360"/>
      </w:pPr>
      <w:rPr>
        <w:rFonts w:ascii="Symbol" w:hAnsi="Symbol" w:hint="default"/>
      </w:rPr>
    </w:lvl>
    <w:lvl w:ilvl="1" w:tplc="5134A17E">
      <w:start w:val="1"/>
      <w:numFmt w:val="bullet"/>
      <w:lvlText w:val="o"/>
      <w:lvlJc w:val="left"/>
      <w:pPr>
        <w:ind w:left="1440" w:hanging="360"/>
      </w:pPr>
      <w:rPr>
        <w:rFonts w:ascii="Courier New" w:hAnsi="Courier New" w:hint="default"/>
      </w:rPr>
    </w:lvl>
    <w:lvl w:ilvl="2" w:tplc="F1F4B43C">
      <w:start w:val="1"/>
      <w:numFmt w:val="bullet"/>
      <w:lvlText w:val=""/>
      <w:lvlJc w:val="left"/>
      <w:pPr>
        <w:ind w:left="2160" w:hanging="360"/>
      </w:pPr>
      <w:rPr>
        <w:rFonts w:ascii="Wingdings" w:hAnsi="Wingdings" w:hint="default"/>
      </w:rPr>
    </w:lvl>
    <w:lvl w:ilvl="3" w:tplc="E92254B0">
      <w:start w:val="1"/>
      <w:numFmt w:val="bullet"/>
      <w:lvlText w:val=""/>
      <w:lvlJc w:val="left"/>
      <w:pPr>
        <w:ind w:left="2880" w:hanging="360"/>
      </w:pPr>
      <w:rPr>
        <w:rFonts w:ascii="Symbol" w:hAnsi="Symbol" w:hint="default"/>
      </w:rPr>
    </w:lvl>
    <w:lvl w:ilvl="4" w:tplc="7BF02CAC">
      <w:start w:val="1"/>
      <w:numFmt w:val="bullet"/>
      <w:lvlText w:val="o"/>
      <w:lvlJc w:val="left"/>
      <w:pPr>
        <w:ind w:left="3600" w:hanging="360"/>
      </w:pPr>
      <w:rPr>
        <w:rFonts w:ascii="Courier New" w:hAnsi="Courier New" w:hint="default"/>
      </w:rPr>
    </w:lvl>
    <w:lvl w:ilvl="5" w:tplc="3A5AEA94">
      <w:start w:val="1"/>
      <w:numFmt w:val="bullet"/>
      <w:lvlText w:val=""/>
      <w:lvlJc w:val="left"/>
      <w:pPr>
        <w:ind w:left="4320" w:hanging="360"/>
      </w:pPr>
      <w:rPr>
        <w:rFonts w:ascii="Wingdings" w:hAnsi="Wingdings" w:hint="default"/>
      </w:rPr>
    </w:lvl>
    <w:lvl w:ilvl="6" w:tplc="DF660F5A">
      <w:start w:val="1"/>
      <w:numFmt w:val="bullet"/>
      <w:lvlText w:val=""/>
      <w:lvlJc w:val="left"/>
      <w:pPr>
        <w:ind w:left="5040" w:hanging="360"/>
      </w:pPr>
      <w:rPr>
        <w:rFonts w:ascii="Symbol" w:hAnsi="Symbol" w:hint="default"/>
      </w:rPr>
    </w:lvl>
    <w:lvl w:ilvl="7" w:tplc="674AEFB6">
      <w:start w:val="1"/>
      <w:numFmt w:val="bullet"/>
      <w:lvlText w:val="o"/>
      <w:lvlJc w:val="left"/>
      <w:pPr>
        <w:ind w:left="5760" w:hanging="360"/>
      </w:pPr>
      <w:rPr>
        <w:rFonts w:ascii="Courier New" w:hAnsi="Courier New" w:hint="default"/>
      </w:rPr>
    </w:lvl>
    <w:lvl w:ilvl="8" w:tplc="B60C8BDC">
      <w:start w:val="1"/>
      <w:numFmt w:val="bullet"/>
      <w:lvlText w:val=""/>
      <w:lvlJc w:val="left"/>
      <w:pPr>
        <w:ind w:left="6480" w:hanging="360"/>
      </w:pPr>
      <w:rPr>
        <w:rFonts w:ascii="Wingdings" w:hAnsi="Wingdings" w:hint="default"/>
      </w:rPr>
    </w:lvl>
  </w:abstractNum>
  <w:abstractNum w:abstractNumId="7" w15:restartNumberingAfterBreak="0">
    <w:nsid w:val="3CD0408A"/>
    <w:multiLevelType w:val="multilevel"/>
    <w:tmpl w:val="67B4F3F4"/>
    <w:lvl w:ilvl="0">
      <w:start w:val="4"/>
      <w:numFmt w:val="decimal"/>
      <w:pStyle w:val="Heading5"/>
      <w:lvlText w:val="%1"/>
      <w:lvlJc w:val="left"/>
      <w:pPr>
        <w:tabs>
          <w:tab w:val="num" w:pos="720"/>
        </w:tabs>
        <w:ind w:left="720" w:hanging="720"/>
      </w:pPr>
      <w:rPr>
        <w:rFonts w:hint="default"/>
        <w:b/>
        <w:i/>
      </w:rPr>
    </w:lvl>
    <w:lvl w:ilvl="1">
      <w:start w:val="3"/>
      <w:numFmt w:val="decimal"/>
      <w:lvlText w:val="%1.%2"/>
      <w:lvlJc w:val="left"/>
      <w:pPr>
        <w:tabs>
          <w:tab w:val="num" w:pos="1440"/>
        </w:tabs>
        <w:ind w:left="1440" w:hanging="720"/>
      </w:pPr>
      <w:rPr>
        <w:rFonts w:hint="default"/>
        <w:b/>
        <w:i/>
      </w:rPr>
    </w:lvl>
    <w:lvl w:ilvl="2">
      <w:start w:val="1"/>
      <w:numFmt w:val="decimal"/>
      <w:lvlText w:val="%1.%2.%3"/>
      <w:lvlJc w:val="left"/>
      <w:pPr>
        <w:tabs>
          <w:tab w:val="num" w:pos="2160"/>
        </w:tabs>
        <w:ind w:left="2160" w:hanging="720"/>
      </w:pPr>
      <w:rPr>
        <w:rFonts w:hint="default"/>
        <w:b/>
        <w:i/>
      </w:rPr>
    </w:lvl>
    <w:lvl w:ilvl="3">
      <w:start w:val="1"/>
      <w:numFmt w:val="decimal"/>
      <w:lvlText w:val="%1.%2.%3.%4"/>
      <w:lvlJc w:val="left"/>
      <w:pPr>
        <w:tabs>
          <w:tab w:val="num" w:pos="2880"/>
        </w:tabs>
        <w:ind w:left="2880" w:hanging="720"/>
      </w:pPr>
      <w:rPr>
        <w:rFonts w:hint="default"/>
        <w:b/>
        <w:i/>
      </w:rPr>
    </w:lvl>
    <w:lvl w:ilvl="4">
      <w:start w:val="1"/>
      <w:numFmt w:val="decimal"/>
      <w:lvlText w:val="%1.%2.%3.%4.%5"/>
      <w:lvlJc w:val="left"/>
      <w:pPr>
        <w:tabs>
          <w:tab w:val="num" w:pos="3960"/>
        </w:tabs>
        <w:ind w:left="3960" w:hanging="1080"/>
      </w:pPr>
      <w:rPr>
        <w:rFonts w:hint="default"/>
        <w:b/>
        <w:i/>
      </w:rPr>
    </w:lvl>
    <w:lvl w:ilvl="5">
      <w:start w:val="1"/>
      <w:numFmt w:val="decimal"/>
      <w:lvlText w:val="%1.%2.%3.%4.%5.%6"/>
      <w:lvlJc w:val="left"/>
      <w:pPr>
        <w:tabs>
          <w:tab w:val="num" w:pos="4680"/>
        </w:tabs>
        <w:ind w:left="4680" w:hanging="1080"/>
      </w:pPr>
      <w:rPr>
        <w:rFonts w:hint="default"/>
        <w:b/>
        <w:i/>
      </w:rPr>
    </w:lvl>
    <w:lvl w:ilvl="6">
      <w:start w:val="1"/>
      <w:numFmt w:val="decimal"/>
      <w:lvlText w:val="%1.%2.%3.%4.%5.%6.%7"/>
      <w:lvlJc w:val="left"/>
      <w:pPr>
        <w:tabs>
          <w:tab w:val="num" w:pos="5760"/>
        </w:tabs>
        <w:ind w:left="5760" w:hanging="1440"/>
      </w:pPr>
      <w:rPr>
        <w:rFonts w:hint="default"/>
        <w:b/>
        <w:i/>
      </w:rPr>
    </w:lvl>
    <w:lvl w:ilvl="7">
      <w:start w:val="1"/>
      <w:numFmt w:val="decimal"/>
      <w:lvlText w:val="%1.%2.%3.%4.%5.%6.%7.%8"/>
      <w:lvlJc w:val="left"/>
      <w:pPr>
        <w:tabs>
          <w:tab w:val="num" w:pos="6480"/>
        </w:tabs>
        <w:ind w:left="6480" w:hanging="1440"/>
      </w:pPr>
      <w:rPr>
        <w:rFonts w:hint="default"/>
        <w:b/>
        <w:i/>
      </w:rPr>
    </w:lvl>
    <w:lvl w:ilvl="8">
      <w:start w:val="1"/>
      <w:numFmt w:val="decimal"/>
      <w:lvlText w:val="%1.%2.%3.%4.%5.%6.%7.%8.%9"/>
      <w:lvlJc w:val="left"/>
      <w:pPr>
        <w:tabs>
          <w:tab w:val="num" w:pos="7560"/>
        </w:tabs>
        <w:ind w:left="7560" w:hanging="1800"/>
      </w:pPr>
      <w:rPr>
        <w:rFonts w:hint="default"/>
        <w:b/>
        <w:i/>
      </w:rPr>
    </w:lvl>
  </w:abstractNum>
  <w:abstractNum w:abstractNumId="8" w15:restartNumberingAfterBreak="0">
    <w:nsid w:val="46CEA8A0"/>
    <w:multiLevelType w:val="hybridMultilevel"/>
    <w:tmpl w:val="9BD81ED8"/>
    <w:lvl w:ilvl="0" w:tplc="9B42A2B0">
      <w:start w:val="1"/>
      <w:numFmt w:val="bullet"/>
      <w:lvlText w:val=""/>
      <w:lvlJc w:val="left"/>
      <w:pPr>
        <w:ind w:left="720" w:hanging="360"/>
      </w:pPr>
      <w:rPr>
        <w:rFonts w:ascii="Symbol" w:hAnsi="Symbol" w:hint="default"/>
      </w:rPr>
    </w:lvl>
    <w:lvl w:ilvl="1" w:tplc="D9B47748">
      <w:start w:val="1"/>
      <w:numFmt w:val="bullet"/>
      <w:lvlText w:val="o"/>
      <w:lvlJc w:val="left"/>
      <w:pPr>
        <w:ind w:left="1440" w:hanging="360"/>
      </w:pPr>
      <w:rPr>
        <w:rFonts w:ascii="Courier New" w:hAnsi="Courier New" w:hint="default"/>
      </w:rPr>
    </w:lvl>
    <w:lvl w:ilvl="2" w:tplc="A0705B3A">
      <w:start w:val="1"/>
      <w:numFmt w:val="bullet"/>
      <w:lvlText w:val=""/>
      <w:lvlJc w:val="left"/>
      <w:pPr>
        <w:ind w:left="2160" w:hanging="360"/>
      </w:pPr>
      <w:rPr>
        <w:rFonts w:ascii="Wingdings" w:hAnsi="Wingdings" w:hint="default"/>
      </w:rPr>
    </w:lvl>
    <w:lvl w:ilvl="3" w:tplc="3A4A7E1C">
      <w:start w:val="1"/>
      <w:numFmt w:val="bullet"/>
      <w:lvlText w:val=""/>
      <w:lvlJc w:val="left"/>
      <w:pPr>
        <w:ind w:left="2880" w:hanging="360"/>
      </w:pPr>
      <w:rPr>
        <w:rFonts w:ascii="Symbol" w:hAnsi="Symbol" w:hint="default"/>
      </w:rPr>
    </w:lvl>
    <w:lvl w:ilvl="4" w:tplc="64B4A206">
      <w:start w:val="1"/>
      <w:numFmt w:val="bullet"/>
      <w:lvlText w:val="o"/>
      <w:lvlJc w:val="left"/>
      <w:pPr>
        <w:ind w:left="3600" w:hanging="360"/>
      </w:pPr>
      <w:rPr>
        <w:rFonts w:ascii="Courier New" w:hAnsi="Courier New" w:hint="default"/>
      </w:rPr>
    </w:lvl>
    <w:lvl w:ilvl="5" w:tplc="62F4B564">
      <w:start w:val="1"/>
      <w:numFmt w:val="bullet"/>
      <w:lvlText w:val=""/>
      <w:lvlJc w:val="left"/>
      <w:pPr>
        <w:ind w:left="4320" w:hanging="360"/>
      </w:pPr>
      <w:rPr>
        <w:rFonts w:ascii="Wingdings" w:hAnsi="Wingdings" w:hint="default"/>
      </w:rPr>
    </w:lvl>
    <w:lvl w:ilvl="6" w:tplc="5C0CB944">
      <w:start w:val="1"/>
      <w:numFmt w:val="bullet"/>
      <w:lvlText w:val=""/>
      <w:lvlJc w:val="left"/>
      <w:pPr>
        <w:ind w:left="5040" w:hanging="360"/>
      </w:pPr>
      <w:rPr>
        <w:rFonts w:ascii="Symbol" w:hAnsi="Symbol" w:hint="default"/>
      </w:rPr>
    </w:lvl>
    <w:lvl w:ilvl="7" w:tplc="F23CAEC2">
      <w:start w:val="1"/>
      <w:numFmt w:val="bullet"/>
      <w:lvlText w:val="o"/>
      <w:lvlJc w:val="left"/>
      <w:pPr>
        <w:ind w:left="5760" w:hanging="360"/>
      </w:pPr>
      <w:rPr>
        <w:rFonts w:ascii="Courier New" w:hAnsi="Courier New" w:hint="default"/>
      </w:rPr>
    </w:lvl>
    <w:lvl w:ilvl="8" w:tplc="EB5A68EC">
      <w:start w:val="1"/>
      <w:numFmt w:val="bullet"/>
      <w:lvlText w:val=""/>
      <w:lvlJc w:val="left"/>
      <w:pPr>
        <w:ind w:left="6480" w:hanging="360"/>
      </w:pPr>
      <w:rPr>
        <w:rFonts w:ascii="Wingdings" w:hAnsi="Wingdings" w:hint="default"/>
      </w:rPr>
    </w:lvl>
  </w:abstractNum>
  <w:abstractNum w:abstractNumId="9" w15:restartNumberingAfterBreak="0">
    <w:nsid w:val="4C701EB7"/>
    <w:multiLevelType w:val="hybridMultilevel"/>
    <w:tmpl w:val="F028E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7969A96"/>
    <w:multiLevelType w:val="hybridMultilevel"/>
    <w:tmpl w:val="E842F23C"/>
    <w:lvl w:ilvl="0" w:tplc="AEE61FEE">
      <w:start w:val="1"/>
      <w:numFmt w:val="bullet"/>
      <w:lvlText w:val=""/>
      <w:lvlJc w:val="left"/>
      <w:pPr>
        <w:ind w:left="720" w:hanging="360"/>
      </w:pPr>
      <w:rPr>
        <w:rFonts w:ascii="Symbol" w:hAnsi="Symbol" w:hint="default"/>
      </w:rPr>
    </w:lvl>
    <w:lvl w:ilvl="1" w:tplc="5FB88214">
      <w:start w:val="1"/>
      <w:numFmt w:val="bullet"/>
      <w:lvlText w:val="o"/>
      <w:lvlJc w:val="left"/>
      <w:pPr>
        <w:ind w:left="1440" w:hanging="360"/>
      </w:pPr>
      <w:rPr>
        <w:rFonts w:ascii="Courier New" w:hAnsi="Courier New" w:hint="default"/>
      </w:rPr>
    </w:lvl>
    <w:lvl w:ilvl="2" w:tplc="D766EE9E">
      <w:start w:val="1"/>
      <w:numFmt w:val="bullet"/>
      <w:lvlText w:val=""/>
      <w:lvlJc w:val="left"/>
      <w:pPr>
        <w:ind w:left="2160" w:hanging="360"/>
      </w:pPr>
      <w:rPr>
        <w:rFonts w:ascii="Wingdings" w:hAnsi="Wingdings" w:hint="default"/>
      </w:rPr>
    </w:lvl>
    <w:lvl w:ilvl="3" w:tplc="B82E2C30">
      <w:start w:val="1"/>
      <w:numFmt w:val="bullet"/>
      <w:lvlText w:val=""/>
      <w:lvlJc w:val="left"/>
      <w:pPr>
        <w:ind w:left="2880" w:hanging="360"/>
      </w:pPr>
      <w:rPr>
        <w:rFonts w:ascii="Symbol" w:hAnsi="Symbol" w:hint="default"/>
      </w:rPr>
    </w:lvl>
    <w:lvl w:ilvl="4" w:tplc="88C2025A">
      <w:start w:val="1"/>
      <w:numFmt w:val="bullet"/>
      <w:lvlText w:val="o"/>
      <w:lvlJc w:val="left"/>
      <w:pPr>
        <w:ind w:left="3600" w:hanging="360"/>
      </w:pPr>
      <w:rPr>
        <w:rFonts w:ascii="Courier New" w:hAnsi="Courier New" w:hint="default"/>
      </w:rPr>
    </w:lvl>
    <w:lvl w:ilvl="5" w:tplc="A6D6E77A">
      <w:start w:val="1"/>
      <w:numFmt w:val="bullet"/>
      <w:lvlText w:val=""/>
      <w:lvlJc w:val="left"/>
      <w:pPr>
        <w:ind w:left="4320" w:hanging="360"/>
      </w:pPr>
      <w:rPr>
        <w:rFonts w:ascii="Wingdings" w:hAnsi="Wingdings" w:hint="default"/>
      </w:rPr>
    </w:lvl>
    <w:lvl w:ilvl="6" w:tplc="EE4EBBD0">
      <w:start w:val="1"/>
      <w:numFmt w:val="bullet"/>
      <w:lvlText w:val=""/>
      <w:lvlJc w:val="left"/>
      <w:pPr>
        <w:ind w:left="5040" w:hanging="360"/>
      </w:pPr>
      <w:rPr>
        <w:rFonts w:ascii="Symbol" w:hAnsi="Symbol" w:hint="default"/>
      </w:rPr>
    </w:lvl>
    <w:lvl w:ilvl="7" w:tplc="9E6404E4">
      <w:start w:val="1"/>
      <w:numFmt w:val="bullet"/>
      <w:lvlText w:val="o"/>
      <w:lvlJc w:val="left"/>
      <w:pPr>
        <w:ind w:left="5760" w:hanging="360"/>
      </w:pPr>
      <w:rPr>
        <w:rFonts w:ascii="Courier New" w:hAnsi="Courier New" w:hint="default"/>
      </w:rPr>
    </w:lvl>
    <w:lvl w:ilvl="8" w:tplc="E7C2BF4A">
      <w:start w:val="1"/>
      <w:numFmt w:val="bullet"/>
      <w:lvlText w:val=""/>
      <w:lvlJc w:val="left"/>
      <w:pPr>
        <w:ind w:left="6480" w:hanging="360"/>
      </w:pPr>
      <w:rPr>
        <w:rFonts w:ascii="Wingdings" w:hAnsi="Wingdings" w:hint="default"/>
      </w:rPr>
    </w:lvl>
  </w:abstractNum>
  <w:abstractNum w:abstractNumId="11" w15:restartNumberingAfterBreak="0">
    <w:nsid w:val="5FA7158F"/>
    <w:multiLevelType w:val="hybridMultilevel"/>
    <w:tmpl w:val="D7883E18"/>
    <w:lvl w:ilvl="0" w:tplc="AA561B1A">
      <w:start w:val="1"/>
      <w:numFmt w:val="bullet"/>
      <w:lvlText w:val=""/>
      <w:lvlJc w:val="left"/>
      <w:pPr>
        <w:ind w:left="720" w:hanging="360"/>
      </w:pPr>
      <w:rPr>
        <w:rFonts w:ascii="Symbol" w:hAnsi="Symbol" w:hint="default"/>
      </w:rPr>
    </w:lvl>
    <w:lvl w:ilvl="1" w:tplc="0BD42B52">
      <w:start w:val="1"/>
      <w:numFmt w:val="bullet"/>
      <w:lvlText w:val="o"/>
      <w:lvlJc w:val="left"/>
      <w:pPr>
        <w:ind w:left="1440" w:hanging="360"/>
      </w:pPr>
      <w:rPr>
        <w:rFonts w:ascii="Courier New" w:hAnsi="Courier New" w:hint="default"/>
      </w:rPr>
    </w:lvl>
    <w:lvl w:ilvl="2" w:tplc="4678DB74">
      <w:start w:val="1"/>
      <w:numFmt w:val="bullet"/>
      <w:lvlText w:val=""/>
      <w:lvlJc w:val="left"/>
      <w:pPr>
        <w:ind w:left="2160" w:hanging="360"/>
      </w:pPr>
      <w:rPr>
        <w:rFonts w:ascii="Wingdings" w:hAnsi="Wingdings" w:hint="default"/>
      </w:rPr>
    </w:lvl>
    <w:lvl w:ilvl="3" w:tplc="6A76BA64">
      <w:start w:val="1"/>
      <w:numFmt w:val="bullet"/>
      <w:lvlText w:val=""/>
      <w:lvlJc w:val="left"/>
      <w:pPr>
        <w:ind w:left="2880" w:hanging="360"/>
      </w:pPr>
      <w:rPr>
        <w:rFonts w:ascii="Symbol" w:hAnsi="Symbol" w:hint="default"/>
      </w:rPr>
    </w:lvl>
    <w:lvl w:ilvl="4" w:tplc="3940AD12">
      <w:start w:val="1"/>
      <w:numFmt w:val="bullet"/>
      <w:lvlText w:val="o"/>
      <w:lvlJc w:val="left"/>
      <w:pPr>
        <w:ind w:left="3600" w:hanging="360"/>
      </w:pPr>
      <w:rPr>
        <w:rFonts w:ascii="Courier New" w:hAnsi="Courier New" w:hint="default"/>
      </w:rPr>
    </w:lvl>
    <w:lvl w:ilvl="5" w:tplc="1F263F62">
      <w:start w:val="1"/>
      <w:numFmt w:val="bullet"/>
      <w:lvlText w:val=""/>
      <w:lvlJc w:val="left"/>
      <w:pPr>
        <w:ind w:left="4320" w:hanging="360"/>
      </w:pPr>
      <w:rPr>
        <w:rFonts w:ascii="Wingdings" w:hAnsi="Wingdings" w:hint="default"/>
      </w:rPr>
    </w:lvl>
    <w:lvl w:ilvl="6" w:tplc="0916F3A4">
      <w:start w:val="1"/>
      <w:numFmt w:val="bullet"/>
      <w:lvlText w:val=""/>
      <w:lvlJc w:val="left"/>
      <w:pPr>
        <w:ind w:left="5040" w:hanging="360"/>
      </w:pPr>
      <w:rPr>
        <w:rFonts w:ascii="Symbol" w:hAnsi="Symbol" w:hint="default"/>
      </w:rPr>
    </w:lvl>
    <w:lvl w:ilvl="7" w:tplc="8838660E">
      <w:start w:val="1"/>
      <w:numFmt w:val="bullet"/>
      <w:lvlText w:val="o"/>
      <w:lvlJc w:val="left"/>
      <w:pPr>
        <w:ind w:left="5760" w:hanging="360"/>
      </w:pPr>
      <w:rPr>
        <w:rFonts w:ascii="Courier New" w:hAnsi="Courier New" w:hint="default"/>
      </w:rPr>
    </w:lvl>
    <w:lvl w:ilvl="8" w:tplc="86DE6120">
      <w:start w:val="1"/>
      <w:numFmt w:val="bullet"/>
      <w:lvlText w:val=""/>
      <w:lvlJc w:val="left"/>
      <w:pPr>
        <w:ind w:left="6480" w:hanging="360"/>
      </w:pPr>
      <w:rPr>
        <w:rFonts w:ascii="Wingdings" w:hAnsi="Wingdings" w:hint="default"/>
      </w:rPr>
    </w:lvl>
  </w:abstractNum>
  <w:abstractNum w:abstractNumId="12" w15:restartNumberingAfterBreak="0">
    <w:nsid w:val="5FF62D67"/>
    <w:multiLevelType w:val="hybridMultilevel"/>
    <w:tmpl w:val="F7B20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5CF3F81"/>
    <w:multiLevelType w:val="hybridMultilevel"/>
    <w:tmpl w:val="48A0B588"/>
    <w:lvl w:ilvl="0" w:tplc="B9081B02">
      <w:start w:val="1"/>
      <w:numFmt w:val="bullet"/>
      <w:lvlText w:val=""/>
      <w:lvlJc w:val="left"/>
      <w:pPr>
        <w:ind w:left="720" w:hanging="360"/>
      </w:pPr>
      <w:rPr>
        <w:rFonts w:ascii="Symbol" w:hAnsi="Symbol" w:hint="default"/>
      </w:rPr>
    </w:lvl>
    <w:lvl w:ilvl="1" w:tplc="78782ED8">
      <w:start w:val="1"/>
      <w:numFmt w:val="bullet"/>
      <w:lvlText w:val="o"/>
      <w:lvlJc w:val="left"/>
      <w:pPr>
        <w:ind w:left="1440" w:hanging="360"/>
      </w:pPr>
      <w:rPr>
        <w:rFonts w:ascii="Courier New" w:hAnsi="Courier New" w:hint="default"/>
      </w:rPr>
    </w:lvl>
    <w:lvl w:ilvl="2" w:tplc="7F78B1A0">
      <w:start w:val="1"/>
      <w:numFmt w:val="bullet"/>
      <w:lvlText w:val=""/>
      <w:lvlJc w:val="left"/>
      <w:pPr>
        <w:ind w:left="2160" w:hanging="360"/>
      </w:pPr>
      <w:rPr>
        <w:rFonts w:ascii="Wingdings" w:hAnsi="Wingdings" w:hint="default"/>
      </w:rPr>
    </w:lvl>
    <w:lvl w:ilvl="3" w:tplc="FE56AB9C">
      <w:start w:val="1"/>
      <w:numFmt w:val="bullet"/>
      <w:lvlText w:val=""/>
      <w:lvlJc w:val="left"/>
      <w:pPr>
        <w:ind w:left="2880" w:hanging="360"/>
      </w:pPr>
      <w:rPr>
        <w:rFonts w:ascii="Symbol" w:hAnsi="Symbol" w:hint="default"/>
      </w:rPr>
    </w:lvl>
    <w:lvl w:ilvl="4" w:tplc="ED4861FE">
      <w:start w:val="1"/>
      <w:numFmt w:val="bullet"/>
      <w:lvlText w:val="o"/>
      <w:lvlJc w:val="left"/>
      <w:pPr>
        <w:ind w:left="3600" w:hanging="360"/>
      </w:pPr>
      <w:rPr>
        <w:rFonts w:ascii="Courier New" w:hAnsi="Courier New" w:hint="default"/>
      </w:rPr>
    </w:lvl>
    <w:lvl w:ilvl="5" w:tplc="D26064F4">
      <w:start w:val="1"/>
      <w:numFmt w:val="bullet"/>
      <w:lvlText w:val=""/>
      <w:lvlJc w:val="left"/>
      <w:pPr>
        <w:ind w:left="4320" w:hanging="360"/>
      </w:pPr>
      <w:rPr>
        <w:rFonts w:ascii="Wingdings" w:hAnsi="Wingdings" w:hint="default"/>
      </w:rPr>
    </w:lvl>
    <w:lvl w:ilvl="6" w:tplc="3B4A1206">
      <w:start w:val="1"/>
      <w:numFmt w:val="bullet"/>
      <w:lvlText w:val=""/>
      <w:lvlJc w:val="left"/>
      <w:pPr>
        <w:ind w:left="5040" w:hanging="360"/>
      </w:pPr>
      <w:rPr>
        <w:rFonts w:ascii="Symbol" w:hAnsi="Symbol" w:hint="default"/>
      </w:rPr>
    </w:lvl>
    <w:lvl w:ilvl="7" w:tplc="EDB0FB5E">
      <w:start w:val="1"/>
      <w:numFmt w:val="bullet"/>
      <w:lvlText w:val="o"/>
      <w:lvlJc w:val="left"/>
      <w:pPr>
        <w:ind w:left="5760" w:hanging="360"/>
      </w:pPr>
      <w:rPr>
        <w:rFonts w:ascii="Courier New" w:hAnsi="Courier New" w:hint="default"/>
      </w:rPr>
    </w:lvl>
    <w:lvl w:ilvl="8" w:tplc="053AEAD2">
      <w:start w:val="1"/>
      <w:numFmt w:val="bullet"/>
      <w:lvlText w:val=""/>
      <w:lvlJc w:val="left"/>
      <w:pPr>
        <w:ind w:left="6480" w:hanging="360"/>
      </w:pPr>
      <w:rPr>
        <w:rFonts w:ascii="Wingdings" w:hAnsi="Wingdings" w:hint="default"/>
      </w:rPr>
    </w:lvl>
  </w:abstractNum>
  <w:abstractNum w:abstractNumId="14" w15:restartNumberingAfterBreak="0">
    <w:nsid w:val="6CB111E7"/>
    <w:multiLevelType w:val="multilevel"/>
    <w:tmpl w:val="092E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6A0B0A"/>
    <w:multiLevelType w:val="hybridMultilevel"/>
    <w:tmpl w:val="6E646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466B20"/>
    <w:multiLevelType w:val="multilevel"/>
    <w:tmpl w:val="D5CE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834AD"/>
    <w:multiLevelType w:val="multilevel"/>
    <w:tmpl w:val="F9666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693494">
    <w:abstractNumId w:val="8"/>
  </w:num>
  <w:num w:numId="2" w16cid:durableId="290866002">
    <w:abstractNumId w:val="6"/>
  </w:num>
  <w:num w:numId="3" w16cid:durableId="1016005210">
    <w:abstractNumId w:val="11"/>
  </w:num>
  <w:num w:numId="4" w16cid:durableId="782388066">
    <w:abstractNumId w:val="13"/>
  </w:num>
  <w:num w:numId="5" w16cid:durableId="1635911945">
    <w:abstractNumId w:val="10"/>
  </w:num>
  <w:num w:numId="6" w16cid:durableId="1405686165">
    <w:abstractNumId w:val="7"/>
  </w:num>
  <w:num w:numId="7" w16cid:durableId="1980960121">
    <w:abstractNumId w:val="4"/>
  </w:num>
  <w:num w:numId="8" w16cid:durableId="1026638195">
    <w:abstractNumId w:val="1"/>
  </w:num>
  <w:num w:numId="9" w16cid:durableId="163518499">
    <w:abstractNumId w:val="3"/>
  </w:num>
  <w:num w:numId="10" w16cid:durableId="612714442">
    <w:abstractNumId w:val="17"/>
  </w:num>
  <w:num w:numId="11" w16cid:durableId="572011542">
    <w:abstractNumId w:val="12"/>
  </w:num>
  <w:num w:numId="12" w16cid:durableId="638073810">
    <w:abstractNumId w:val="9"/>
  </w:num>
  <w:num w:numId="13" w16cid:durableId="963461293">
    <w:abstractNumId w:val="0"/>
  </w:num>
  <w:num w:numId="14" w16cid:durableId="760682214">
    <w:abstractNumId w:val="2"/>
  </w:num>
  <w:num w:numId="15" w16cid:durableId="1888252239">
    <w:abstractNumId w:val="5"/>
  </w:num>
  <w:num w:numId="16" w16cid:durableId="980113680">
    <w:abstractNumId w:val="16"/>
  </w:num>
  <w:num w:numId="17" w16cid:durableId="1652252292">
    <w:abstractNumId w:val="14"/>
  </w:num>
  <w:num w:numId="18" w16cid:durableId="147502384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zszA2NTI3MTIzNDVV0lEKTi0uzszPAykwqgUA+Lw0IiwAAAA="/>
  </w:docVars>
  <w:rsids>
    <w:rsidRoot w:val="002C0D0B"/>
    <w:rsid w:val="00001A98"/>
    <w:rsid w:val="00003F48"/>
    <w:rsid w:val="00006844"/>
    <w:rsid w:val="000075E0"/>
    <w:rsid w:val="000106B3"/>
    <w:rsid w:val="00012B6F"/>
    <w:rsid w:val="000139F6"/>
    <w:rsid w:val="000145E3"/>
    <w:rsid w:val="000172D2"/>
    <w:rsid w:val="00017807"/>
    <w:rsid w:val="000241CA"/>
    <w:rsid w:val="000250E1"/>
    <w:rsid w:val="00025960"/>
    <w:rsid w:val="00026B99"/>
    <w:rsid w:val="00026C58"/>
    <w:rsid w:val="0002715B"/>
    <w:rsid w:val="000326D9"/>
    <w:rsid w:val="00032F97"/>
    <w:rsid w:val="00037658"/>
    <w:rsid w:val="000402EF"/>
    <w:rsid w:val="0004120B"/>
    <w:rsid w:val="0004268D"/>
    <w:rsid w:val="00042DD9"/>
    <w:rsid w:val="000476AB"/>
    <w:rsid w:val="000479C5"/>
    <w:rsid w:val="00047C0F"/>
    <w:rsid w:val="0005281B"/>
    <w:rsid w:val="00052F79"/>
    <w:rsid w:val="000530B1"/>
    <w:rsid w:val="00053A89"/>
    <w:rsid w:val="00054899"/>
    <w:rsid w:val="00055076"/>
    <w:rsid w:val="00055911"/>
    <w:rsid w:val="00056A19"/>
    <w:rsid w:val="000620CD"/>
    <w:rsid w:val="00062ADB"/>
    <w:rsid w:val="00062D44"/>
    <w:rsid w:val="00063DDA"/>
    <w:rsid w:val="00063E2C"/>
    <w:rsid w:val="00067A72"/>
    <w:rsid w:val="00067BB2"/>
    <w:rsid w:val="00070629"/>
    <w:rsid w:val="00070DBE"/>
    <w:rsid w:val="00074005"/>
    <w:rsid w:val="00075ABE"/>
    <w:rsid w:val="000767AE"/>
    <w:rsid w:val="00077A2B"/>
    <w:rsid w:val="00081727"/>
    <w:rsid w:val="00081E4B"/>
    <w:rsid w:val="00082297"/>
    <w:rsid w:val="000835C5"/>
    <w:rsid w:val="00083E87"/>
    <w:rsid w:val="000840BF"/>
    <w:rsid w:val="000863E1"/>
    <w:rsid w:val="00086CEF"/>
    <w:rsid w:val="000978CF"/>
    <w:rsid w:val="000A1154"/>
    <w:rsid w:val="000A1870"/>
    <w:rsid w:val="000B19DE"/>
    <w:rsid w:val="000B37F8"/>
    <w:rsid w:val="000B3D5D"/>
    <w:rsid w:val="000B76B9"/>
    <w:rsid w:val="000B76CA"/>
    <w:rsid w:val="000C0042"/>
    <w:rsid w:val="000C4304"/>
    <w:rsid w:val="000D2C47"/>
    <w:rsid w:val="000D67C9"/>
    <w:rsid w:val="000D6F1E"/>
    <w:rsid w:val="000D75E7"/>
    <w:rsid w:val="000E0223"/>
    <w:rsid w:val="000E2310"/>
    <w:rsid w:val="000E2DC1"/>
    <w:rsid w:val="000E3222"/>
    <w:rsid w:val="000E77AA"/>
    <w:rsid w:val="000F0A0B"/>
    <w:rsid w:val="000F354D"/>
    <w:rsid w:val="001000AD"/>
    <w:rsid w:val="00101694"/>
    <w:rsid w:val="001017E9"/>
    <w:rsid w:val="001055BB"/>
    <w:rsid w:val="001065D5"/>
    <w:rsid w:val="00106E43"/>
    <w:rsid w:val="0010764A"/>
    <w:rsid w:val="00111EF6"/>
    <w:rsid w:val="001155E3"/>
    <w:rsid w:val="0011564A"/>
    <w:rsid w:val="0011707B"/>
    <w:rsid w:val="00117295"/>
    <w:rsid w:val="00117E4B"/>
    <w:rsid w:val="001213E7"/>
    <w:rsid w:val="00126EF7"/>
    <w:rsid w:val="00127231"/>
    <w:rsid w:val="00131CB0"/>
    <w:rsid w:val="00133A39"/>
    <w:rsid w:val="00133E5F"/>
    <w:rsid w:val="00135915"/>
    <w:rsid w:val="00143626"/>
    <w:rsid w:val="00143B72"/>
    <w:rsid w:val="00145078"/>
    <w:rsid w:val="001462DD"/>
    <w:rsid w:val="0015202D"/>
    <w:rsid w:val="00155C8C"/>
    <w:rsid w:val="00160CD5"/>
    <w:rsid w:val="00161D1B"/>
    <w:rsid w:val="0016212D"/>
    <w:rsid w:val="001643A9"/>
    <w:rsid w:val="00164CA9"/>
    <w:rsid w:val="00165AB2"/>
    <w:rsid w:val="00165EA5"/>
    <w:rsid w:val="001661FB"/>
    <w:rsid w:val="001703D4"/>
    <w:rsid w:val="00170C2A"/>
    <w:rsid w:val="00170C3C"/>
    <w:rsid w:val="001711E0"/>
    <w:rsid w:val="00180E42"/>
    <w:rsid w:val="00182FC4"/>
    <w:rsid w:val="001859CA"/>
    <w:rsid w:val="0018686B"/>
    <w:rsid w:val="00191ED4"/>
    <w:rsid w:val="001946FF"/>
    <w:rsid w:val="00196C31"/>
    <w:rsid w:val="0019798B"/>
    <w:rsid w:val="00197EBB"/>
    <w:rsid w:val="001A00D3"/>
    <w:rsid w:val="001A093F"/>
    <w:rsid w:val="001A0B48"/>
    <w:rsid w:val="001A0FB3"/>
    <w:rsid w:val="001A1127"/>
    <w:rsid w:val="001A1DA7"/>
    <w:rsid w:val="001A34E2"/>
    <w:rsid w:val="001A573A"/>
    <w:rsid w:val="001A623C"/>
    <w:rsid w:val="001A679E"/>
    <w:rsid w:val="001A70FC"/>
    <w:rsid w:val="001A717D"/>
    <w:rsid w:val="001A765B"/>
    <w:rsid w:val="001B1EB8"/>
    <w:rsid w:val="001B3BD7"/>
    <w:rsid w:val="001B4C90"/>
    <w:rsid w:val="001C397A"/>
    <w:rsid w:val="001C495E"/>
    <w:rsid w:val="001C4A99"/>
    <w:rsid w:val="001C5D45"/>
    <w:rsid w:val="001C7297"/>
    <w:rsid w:val="001D0B09"/>
    <w:rsid w:val="001D2534"/>
    <w:rsid w:val="001D2DBC"/>
    <w:rsid w:val="001D30EB"/>
    <w:rsid w:val="001D3E01"/>
    <w:rsid w:val="001D3EDC"/>
    <w:rsid w:val="001D55B4"/>
    <w:rsid w:val="001D59F8"/>
    <w:rsid w:val="001D6BF2"/>
    <w:rsid w:val="001D73C0"/>
    <w:rsid w:val="001E23C1"/>
    <w:rsid w:val="001E24DE"/>
    <w:rsid w:val="001E2692"/>
    <w:rsid w:val="001E33AA"/>
    <w:rsid w:val="001E458D"/>
    <w:rsid w:val="001E46A3"/>
    <w:rsid w:val="001E57FC"/>
    <w:rsid w:val="001E5F5C"/>
    <w:rsid w:val="001F124E"/>
    <w:rsid w:val="001F356F"/>
    <w:rsid w:val="001F6153"/>
    <w:rsid w:val="002003F7"/>
    <w:rsid w:val="00200F16"/>
    <w:rsid w:val="00202B33"/>
    <w:rsid w:val="0020323F"/>
    <w:rsid w:val="00203461"/>
    <w:rsid w:val="00203B8A"/>
    <w:rsid w:val="00204267"/>
    <w:rsid w:val="0020730B"/>
    <w:rsid w:val="002115F8"/>
    <w:rsid w:val="00211D98"/>
    <w:rsid w:val="00214134"/>
    <w:rsid w:val="00214C8C"/>
    <w:rsid w:val="002177E2"/>
    <w:rsid w:val="0022028E"/>
    <w:rsid w:val="00220B43"/>
    <w:rsid w:val="002235A6"/>
    <w:rsid w:val="00223624"/>
    <w:rsid w:val="002307BE"/>
    <w:rsid w:val="0023361C"/>
    <w:rsid w:val="002336EF"/>
    <w:rsid w:val="002402C4"/>
    <w:rsid w:val="00243106"/>
    <w:rsid w:val="002438C9"/>
    <w:rsid w:val="00247E5C"/>
    <w:rsid w:val="002502D8"/>
    <w:rsid w:val="002512EB"/>
    <w:rsid w:val="00252B14"/>
    <w:rsid w:val="00254943"/>
    <w:rsid w:val="00254A7D"/>
    <w:rsid w:val="00254C3B"/>
    <w:rsid w:val="00255483"/>
    <w:rsid w:val="00257596"/>
    <w:rsid w:val="00257655"/>
    <w:rsid w:val="002611AB"/>
    <w:rsid w:val="0026233A"/>
    <w:rsid w:val="0026361C"/>
    <w:rsid w:val="002648B0"/>
    <w:rsid w:val="00265E79"/>
    <w:rsid w:val="0026642D"/>
    <w:rsid w:val="00266513"/>
    <w:rsid w:val="00266CFF"/>
    <w:rsid w:val="00267187"/>
    <w:rsid w:val="00267192"/>
    <w:rsid w:val="00270703"/>
    <w:rsid w:val="002707E1"/>
    <w:rsid w:val="0027188C"/>
    <w:rsid w:val="00271FE2"/>
    <w:rsid w:val="00272551"/>
    <w:rsid w:val="00273EC3"/>
    <w:rsid w:val="00276A9F"/>
    <w:rsid w:val="00281CA7"/>
    <w:rsid w:val="00283205"/>
    <w:rsid w:val="00286957"/>
    <w:rsid w:val="00286D2F"/>
    <w:rsid w:val="002874AC"/>
    <w:rsid w:val="00294EAA"/>
    <w:rsid w:val="002958C0"/>
    <w:rsid w:val="00295B4E"/>
    <w:rsid w:val="002A09F4"/>
    <w:rsid w:val="002A0A21"/>
    <w:rsid w:val="002A0E30"/>
    <w:rsid w:val="002A138A"/>
    <w:rsid w:val="002A1DD5"/>
    <w:rsid w:val="002A3DD3"/>
    <w:rsid w:val="002C0D0B"/>
    <w:rsid w:val="002C1DD6"/>
    <w:rsid w:val="002C3929"/>
    <w:rsid w:val="002C4539"/>
    <w:rsid w:val="002C75C7"/>
    <w:rsid w:val="002D2BB2"/>
    <w:rsid w:val="002D5EE2"/>
    <w:rsid w:val="002D617F"/>
    <w:rsid w:val="002E05ED"/>
    <w:rsid w:val="002E0AD6"/>
    <w:rsid w:val="002E2A83"/>
    <w:rsid w:val="002E3695"/>
    <w:rsid w:val="002E3A2C"/>
    <w:rsid w:val="002E6DA0"/>
    <w:rsid w:val="002E7204"/>
    <w:rsid w:val="002F2AA0"/>
    <w:rsid w:val="002F2C36"/>
    <w:rsid w:val="002F786B"/>
    <w:rsid w:val="00305A54"/>
    <w:rsid w:val="00306EDF"/>
    <w:rsid w:val="00311294"/>
    <w:rsid w:val="0031187A"/>
    <w:rsid w:val="00314310"/>
    <w:rsid w:val="003146D7"/>
    <w:rsid w:val="00315574"/>
    <w:rsid w:val="00315B16"/>
    <w:rsid w:val="00316280"/>
    <w:rsid w:val="00316510"/>
    <w:rsid w:val="00316F95"/>
    <w:rsid w:val="00317CE8"/>
    <w:rsid w:val="00321652"/>
    <w:rsid w:val="00323202"/>
    <w:rsid w:val="00325348"/>
    <w:rsid w:val="0032676E"/>
    <w:rsid w:val="00326E93"/>
    <w:rsid w:val="00327984"/>
    <w:rsid w:val="00327E57"/>
    <w:rsid w:val="00330F9D"/>
    <w:rsid w:val="00332B1C"/>
    <w:rsid w:val="00336239"/>
    <w:rsid w:val="00336F17"/>
    <w:rsid w:val="00337643"/>
    <w:rsid w:val="00342819"/>
    <w:rsid w:val="003442B9"/>
    <w:rsid w:val="00345FA6"/>
    <w:rsid w:val="003473A9"/>
    <w:rsid w:val="003505ED"/>
    <w:rsid w:val="0035097C"/>
    <w:rsid w:val="00351A18"/>
    <w:rsid w:val="00353C1E"/>
    <w:rsid w:val="00353C95"/>
    <w:rsid w:val="0035615D"/>
    <w:rsid w:val="00356CEA"/>
    <w:rsid w:val="003600A8"/>
    <w:rsid w:val="0036123F"/>
    <w:rsid w:val="0036259D"/>
    <w:rsid w:val="00362E39"/>
    <w:rsid w:val="00363873"/>
    <w:rsid w:val="00366FE8"/>
    <w:rsid w:val="0036721D"/>
    <w:rsid w:val="003672AA"/>
    <w:rsid w:val="00371C6F"/>
    <w:rsid w:val="00374C31"/>
    <w:rsid w:val="0037726F"/>
    <w:rsid w:val="003772E4"/>
    <w:rsid w:val="00381E6B"/>
    <w:rsid w:val="00383C64"/>
    <w:rsid w:val="003840A6"/>
    <w:rsid w:val="00390631"/>
    <w:rsid w:val="00391545"/>
    <w:rsid w:val="00394560"/>
    <w:rsid w:val="0039562B"/>
    <w:rsid w:val="003A3281"/>
    <w:rsid w:val="003A4BE1"/>
    <w:rsid w:val="003A4F1A"/>
    <w:rsid w:val="003A6F73"/>
    <w:rsid w:val="003A7460"/>
    <w:rsid w:val="003B1BFA"/>
    <w:rsid w:val="003B5AB4"/>
    <w:rsid w:val="003B5DDB"/>
    <w:rsid w:val="003B5FD2"/>
    <w:rsid w:val="003C395D"/>
    <w:rsid w:val="003C45D0"/>
    <w:rsid w:val="003C4770"/>
    <w:rsid w:val="003C5416"/>
    <w:rsid w:val="003C69C6"/>
    <w:rsid w:val="003C723F"/>
    <w:rsid w:val="003C73FF"/>
    <w:rsid w:val="003D153A"/>
    <w:rsid w:val="003D23D3"/>
    <w:rsid w:val="003D315F"/>
    <w:rsid w:val="003D35D4"/>
    <w:rsid w:val="003D5923"/>
    <w:rsid w:val="003D6666"/>
    <w:rsid w:val="003E127E"/>
    <w:rsid w:val="003E349C"/>
    <w:rsid w:val="003E40A3"/>
    <w:rsid w:val="003E7EFC"/>
    <w:rsid w:val="003F1498"/>
    <w:rsid w:val="003F1834"/>
    <w:rsid w:val="00406F01"/>
    <w:rsid w:val="00407406"/>
    <w:rsid w:val="00407FBE"/>
    <w:rsid w:val="0041143C"/>
    <w:rsid w:val="00412074"/>
    <w:rsid w:val="00412D53"/>
    <w:rsid w:val="0041662D"/>
    <w:rsid w:val="004167C3"/>
    <w:rsid w:val="00416A53"/>
    <w:rsid w:val="00417422"/>
    <w:rsid w:val="00421178"/>
    <w:rsid w:val="00423ADB"/>
    <w:rsid w:val="00426FFD"/>
    <w:rsid w:val="0042753C"/>
    <w:rsid w:val="00427764"/>
    <w:rsid w:val="00432BF8"/>
    <w:rsid w:val="0043434A"/>
    <w:rsid w:val="004362D6"/>
    <w:rsid w:val="00437947"/>
    <w:rsid w:val="00440371"/>
    <w:rsid w:val="00441852"/>
    <w:rsid w:val="0044373A"/>
    <w:rsid w:val="004476E2"/>
    <w:rsid w:val="00452621"/>
    <w:rsid w:val="0045322B"/>
    <w:rsid w:val="00454EC7"/>
    <w:rsid w:val="00456466"/>
    <w:rsid w:val="004565A5"/>
    <w:rsid w:val="00456CE8"/>
    <w:rsid w:val="0046672C"/>
    <w:rsid w:val="00467A28"/>
    <w:rsid w:val="004709E2"/>
    <w:rsid w:val="00470B60"/>
    <w:rsid w:val="0047420C"/>
    <w:rsid w:val="00475384"/>
    <w:rsid w:val="0047594D"/>
    <w:rsid w:val="00477DB3"/>
    <w:rsid w:val="0048033A"/>
    <w:rsid w:val="004810E4"/>
    <w:rsid w:val="004841EF"/>
    <w:rsid w:val="004877A4"/>
    <w:rsid w:val="00487B82"/>
    <w:rsid w:val="004905E8"/>
    <w:rsid w:val="0049132A"/>
    <w:rsid w:val="00492491"/>
    <w:rsid w:val="0049482E"/>
    <w:rsid w:val="004A1CC2"/>
    <w:rsid w:val="004A2243"/>
    <w:rsid w:val="004A261F"/>
    <w:rsid w:val="004A3DD0"/>
    <w:rsid w:val="004A4651"/>
    <w:rsid w:val="004A467F"/>
    <w:rsid w:val="004A5D6A"/>
    <w:rsid w:val="004A633A"/>
    <w:rsid w:val="004A760B"/>
    <w:rsid w:val="004A7F79"/>
    <w:rsid w:val="004B375D"/>
    <w:rsid w:val="004B39AA"/>
    <w:rsid w:val="004B4B70"/>
    <w:rsid w:val="004B501C"/>
    <w:rsid w:val="004B6043"/>
    <w:rsid w:val="004B77D5"/>
    <w:rsid w:val="004C3E0A"/>
    <w:rsid w:val="004C60ED"/>
    <w:rsid w:val="004C6366"/>
    <w:rsid w:val="004D4E58"/>
    <w:rsid w:val="004D64B0"/>
    <w:rsid w:val="004E031A"/>
    <w:rsid w:val="004E1D84"/>
    <w:rsid w:val="004E44F6"/>
    <w:rsid w:val="004E4658"/>
    <w:rsid w:val="004E74E2"/>
    <w:rsid w:val="004F0260"/>
    <w:rsid w:val="004F43DC"/>
    <w:rsid w:val="004F513F"/>
    <w:rsid w:val="004F558E"/>
    <w:rsid w:val="004F5E04"/>
    <w:rsid w:val="004F65DB"/>
    <w:rsid w:val="005013D3"/>
    <w:rsid w:val="00504714"/>
    <w:rsid w:val="00504862"/>
    <w:rsid w:val="005048C8"/>
    <w:rsid w:val="00504F6F"/>
    <w:rsid w:val="0051105D"/>
    <w:rsid w:val="00515EAF"/>
    <w:rsid w:val="0052265C"/>
    <w:rsid w:val="00522709"/>
    <w:rsid w:val="00525AA6"/>
    <w:rsid w:val="005327E5"/>
    <w:rsid w:val="00532B80"/>
    <w:rsid w:val="00533A07"/>
    <w:rsid w:val="005357B9"/>
    <w:rsid w:val="0054010F"/>
    <w:rsid w:val="00540739"/>
    <w:rsid w:val="00541381"/>
    <w:rsid w:val="00541DC4"/>
    <w:rsid w:val="00543553"/>
    <w:rsid w:val="00545C61"/>
    <w:rsid w:val="00550103"/>
    <w:rsid w:val="00550947"/>
    <w:rsid w:val="00550F66"/>
    <w:rsid w:val="005528FE"/>
    <w:rsid w:val="00552F77"/>
    <w:rsid w:val="005543C5"/>
    <w:rsid w:val="005550D2"/>
    <w:rsid w:val="0055515C"/>
    <w:rsid w:val="005567F0"/>
    <w:rsid w:val="00556B57"/>
    <w:rsid w:val="005607FC"/>
    <w:rsid w:val="005608CD"/>
    <w:rsid w:val="00561649"/>
    <w:rsid w:val="00564DED"/>
    <w:rsid w:val="00565D21"/>
    <w:rsid w:val="00567FB4"/>
    <w:rsid w:val="00571636"/>
    <w:rsid w:val="00572A94"/>
    <w:rsid w:val="00576D5A"/>
    <w:rsid w:val="00581698"/>
    <w:rsid w:val="00583A36"/>
    <w:rsid w:val="00584E80"/>
    <w:rsid w:val="00585BB2"/>
    <w:rsid w:val="005864D8"/>
    <w:rsid w:val="005905C7"/>
    <w:rsid w:val="00590674"/>
    <w:rsid w:val="00590B5D"/>
    <w:rsid w:val="0059527E"/>
    <w:rsid w:val="005954BF"/>
    <w:rsid w:val="00595629"/>
    <w:rsid w:val="005961BE"/>
    <w:rsid w:val="00597BA8"/>
    <w:rsid w:val="00597C87"/>
    <w:rsid w:val="00597ED8"/>
    <w:rsid w:val="005A1417"/>
    <w:rsid w:val="005A4568"/>
    <w:rsid w:val="005A5406"/>
    <w:rsid w:val="005A76EC"/>
    <w:rsid w:val="005B2890"/>
    <w:rsid w:val="005B2DF0"/>
    <w:rsid w:val="005B4C2E"/>
    <w:rsid w:val="005B4F1C"/>
    <w:rsid w:val="005C2C3F"/>
    <w:rsid w:val="005C2D48"/>
    <w:rsid w:val="005C4974"/>
    <w:rsid w:val="005C75B2"/>
    <w:rsid w:val="005D13ED"/>
    <w:rsid w:val="005D3D69"/>
    <w:rsid w:val="005D5D55"/>
    <w:rsid w:val="005D5FBD"/>
    <w:rsid w:val="005D77A0"/>
    <w:rsid w:val="005E1734"/>
    <w:rsid w:val="005E3D6C"/>
    <w:rsid w:val="005E5237"/>
    <w:rsid w:val="005E6291"/>
    <w:rsid w:val="005E76FF"/>
    <w:rsid w:val="005E771D"/>
    <w:rsid w:val="005E7CF6"/>
    <w:rsid w:val="005F0C43"/>
    <w:rsid w:val="005F12DD"/>
    <w:rsid w:val="005F5B7D"/>
    <w:rsid w:val="005F74A3"/>
    <w:rsid w:val="005F7FD1"/>
    <w:rsid w:val="006044C0"/>
    <w:rsid w:val="00615A80"/>
    <w:rsid w:val="0061739B"/>
    <w:rsid w:val="006177BB"/>
    <w:rsid w:val="00620845"/>
    <w:rsid w:val="006222E8"/>
    <w:rsid w:val="00623D8D"/>
    <w:rsid w:val="00625295"/>
    <w:rsid w:val="00626B9D"/>
    <w:rsid w:val="00630A79"/>
    <w:rsid w:val="0063679E"/>
    <w:rsid w:val="00637681"/>
    <w:rsid w:val="00637E26"/>
    <w:rsid w:val="00640C07"/>
    <w:rsid w:val="00641B0B"/>
    <w:rsid w:val="00643456"/>
    <w:rsid w:val="00643708"/>
    <w:rsid w:val="00646C4A"/>
    <w:rsid w:val="00647B88"/>
    <w:rsid w:val="00650B9C"/>
    <w:rsid w:val="00655F86"/>
    <w:rsid w:val="00656258"/>
    <w:rsid w:val="00660746"/>
    <w:rsid w:val="00661B1D"/>
    <w:rsid w:val="00664418"/>
    <w:rsid w:val="0066503B"/>
    <w:rsid w:val="00666C30"/>
    <w:rsid w:val="006774D8"/>
    <w:rsid w:val="0068080A"/>
    <w:rsid w:val="00682744"/>
    <w:rsid w:val="00683576"/>
    <w:rsid w:val="00685373"/>
    <w:rsid w:val="006905CE"/>
    <w:rsid w:val="00691CA2"/>
    <w:rsid w:val="0069310D"/>
    <w:rsid w:val="00693885"/>
    <w:rsid w:val="00693A12"/>
    <w:rsid w:val="00694072"/>
    <w:rsid w:val="006954BE"/>
    <w:rsid w:val="00695C27"/>
    <w:rsid w:val="006A3859"/>
    <w:rsid w:val="006A53FA"/>
    <w:rsid w:val="006A5FA5"/>
    <w:rsid w:val="006A7BF3"/>
    <w:rsid w:val="006B18D3"/>
    <w:rsid w:val="006B2729"/>
    <w:rsid w:val="006B2CD2"/>
    <w:rsid w:val="006B3A09"/>
    <w:rsid w:val="006B519B"/>
    <w:rsid w:val="006C000B"/>
    <w:rsid w:val="006C30F4"/>
    <w:rsid w:val="006C630B"/>
    <w:rsid w:val="006D20CA"/>
    <w:rsid w:val="006D2C14"/>
    <w:rsid w:val="006D6C77"/>
    <w:rsid w:val="006E0C01"/>
    <w:rsid w:val="006E2057"/>
    <w:rsid w:val="006E3BBF"/>
    <w:rsid w:val="006E54DE"/>
    <w:rsid w:val="006F1C40"/>
    <w:rsid w:val="006F2932"/>
    <w:rsid w:val="006F67BF"/>
    <w:rsid w:val="006F688E"/>
    <w:rsid w:val="006F7F3E"/>
    <w:rsid w:val="00702C72"/>
    <w:rsid w:val="00703E42"/>
    <w:rsid w:val="00704904"/>
    <w:rsid w:val="0070511F"/>
    <w:rsid w:val="00706449"/>
    <w:rsid w:val="00706F84"/>
    <w:rsid w:val="00710DBF"/>
    <w:rsid w:val="00711056"/>
    <w:rsid w:val="0071160D"/>
    <w:rsid w:val="00714752"/>
    <w:rsid w:val="00714BC0"/>
    <w:rsid w:val="0071633B"/>
    <w:rsid w:val="00717F3A"/>
    <w:rsid w:val="00720E4D"/>
    <w:rsid w:val="0072317C"/>
    <w:rsid w:val="00723F7E"/>
    <w:rsid w:val="007251B4"/>
    <w:rsid w:val="00726130"/>
    <w:rsid w:val="007301C3"/>
    <w:rsid w:val="007322BB"/>
    <w:rsid w:val="00734874"/>
    <w:rsid w:val="007363B8"/>
    <w:rsid w:val="00737E05"/>
    <w:rsid w:val="0074052B"/>
    <w:rsid w:val="00741549"/>
    <w:rsid w:val="00741D42"/>
    <w:rsid w:val="007448F7"/>
    <w:rsid w:val="00746376"/>
    <w:rsid w:val="00746F02"/>
    <w:rsid w:val="00747558"/>
    <w:rsid w:val="00747974"/>
    <w:rsid w:val="00751125"/>
    <w:rsid w:val="00754765"/>
    <w:rsid w:val="00762574"/>
    <w:rsid w:val="00763C3F"/>
    <w:rsid w:val="007647D5"/>
    <w:rsid w:val="00764C4F"/>
    <w:rsid w:val="0076521B"/>
    <w:rsid w:val="00766502"/>
    <w:rsid w:val="0076700D"/>
    <w:rsid w:val="00771B8A"/>
    <w:rsid w:val="00772441"/>
    <w:rsid w:val="00772626"/>
    <w:rsid w:val="007758B7"/>
    <w:rsid w:val="0077738C"/>
    <w:rsid w:val="00777C24"/>
    <w:rsid w:val="007800E1"/>
    <w:rsid w:val="00780DCC"/>
    <w:rsid w:val="00782A45"/>
    <w:rsid w:val="0078324C"/>
    <w:rsid w:val="00785DCF"/>
    <w:rsid w:val="0079193D"/>
    <w:rsid w:val="0079347B"/>
    <w:rsid w:val="007947EE"/>
    <w:rsid w:val="00795BBA"/>
    <w:rsid w:val="007A17DF"/>
    <w:rsid w:val="007B1A4E"/>
    <w:rsid w:val="007B32A2"/>
    <w:rsid w:val="007B459F"/>
    <w:rsid w:val="007B5309"/>
    <w:rsid w:val="007B6F9A"/>
    <w:rsid w:val="007B72BA"/>
    <w:rsid w:val="007C00D7"/>
    <w:rsid w:val="007C1B54"/>
    <w:rsid w:val="007C319F"/>
    <w:rsid w:val="007C7A7B"/>
    <w:rsid w:val="007D23A3"/>
    <w:rsid w:val="007D5A2F"/>
    <w:rsid w:val="007D6AD8"/>
    <w:rsid w:val="007D6DEF"/>
    <w:rsid w:val="007E3BCF"/>
    <w:rsid w:val="007E3BD9"/>
    <w:rsid w:val="007E43DD"/>
    <w:rsid w:val="007E50B7"/>
    <w:rsid w:val="007E59EF"/>
    <w:rsid w:val="007E7D0B"/>
    <w:rsid w:val="007F09A1"/>
    <w:rsid w:val="007F15EE"/>
    <w:rsid w:val="007F24C0"/>
    <w:rsid w:val="007F3313"/>
    <w:rsid w:val="007F3371"/>
    <w:rsid w:val="007F405C"/>
    <w:rsid w:val="007F4FAD"/>
    <w:rsid w:val="007F6F7D"/>
    <w:rsid w:val="007F7546"/>
    <w:rsid w:val="008002BC"/>
    <w:rsid w:val="00800A7D"/>
    <w:rsid w:val="00801DE7"/>
    <w:rsid w:val="008049B9"/>
    <w:rsid w:val="00804B08"/>
    <w:rsid w:val="00804E84"/>
    <w:rsid w:val="0080523E"/>
    <w:rsid w:val="008074AB"/>
    <w:rsid w:val="008132A2"/>
    <w:rsid w:val="00823AB6"/>
    <w:rsid w:val="00823E08"/>
    <w:rsid w:val="00824F89"/>
    <w:rsid w:val="00830465"/>
    <w:rsid w:val="00832506"/>
    <w:rsid w:val="00836D6C"/>
    <w:rsid w:val="00837CA0"/>
    <w:rsid w:val="008408EC"/>
    <w:rsid w:val="008432C3"/>
    <w:rsid w:val="00847A25"/>
    <w:rsid w:val="00847A94"/>
    <w:rsid w:val="00851992"/>
    <w:rsid w:val="00851D0E"/>
    <w:rsid w:val="00852346"/>
    <w:rsid w:val="008530BC"/>
    <w:rsid w:val="008543D2"/>
    <w:rsid w:val="00854802"/>
    <w:rsid w:val="0085642C"/>
    <w:rsid w:val="00856EA5"/>
    <w:rsid w:val="00860A09"/>
    <w:rsid w:val="0086250D"/>
    <w:rsid w:val="008630EC"/>
    <w:rsid w:val="00863314"/>
    <w:rsid w:val="00864153"/>
    <w:rsid w:val="00865959"/>
    <w:rsid w:val="00866E96"/>
    <w:rsid w:val="00870221"/>
    <w:rsid w:val="008710E8"/>
    <w:rsid w:val="008734FA"/>
    <w:rsid w:val="00874F92"/>
    <w:rsid w:val="008756FE"/>
    <w:rsid w:val="008778D4"/>
    <w:rsid w:val="00880BEB"/>
    <w:rsid w:val="00883A8A"/>
    <w:rsid w:val="00884B86"/>
    <w:rsid w:val="00886B51"/>
    <w:rsid w:val="00887324"/>
    <w:rsid w:val="008900C2"/>
    <w:rsid w:val="00890CCC"/>
    <w:rsid w:val="008911ED"/>
    <w:rsid w:val="00893AC5"/>
    <w:rsid w:val="008950C4"/>
    <w:rsid w:val="00895431"/>
    <w:rsid w:val="00897BDA"/>
    <w:rsid w:val="008A0082"/>
    <w:rsid w:val="008A0350"/>
    <w:rsid w:val="008A11B7"/>
    <w:rsid w:val="008A43B7"/>
    <w:rsid w:val="008A50E9"/>
    <w:rsid w:val="008A710A"/>
    <w:rsid w:val="008B5A08"/>
    <w:rsid w:val="008B67F9"/>
    <w:rsid w:val="008B7602"/>
    <w:rsid w:val="008C09CD"/>
    <w:rsid w:val="008C156D"/>
    <w:rsid w:val="008C169A"/>
    <w:rsid w:val="008C1DFD"/>
    <w:rsid w:val="008C2C25"/>
    <w:rsid w:val="008C35A3"/>
    <w:rsid w:val="008C61D1"/>
    <w:rsid w:val="008D0842"/>
    <w:rsid w:val="008D1150"/>
    <w:rsid w:val="008D55C5"/>
    <w:rsid w:val="008E2807"/>
    <w:rsid w:val="008E3461"/>
    <w:rsid w:val="008E7DF5"/>
    <w:rsid w:val="008F2D33"/>
    <w:rsid w:val="008F312C"/>
    <w:rsid w:val="008F4258"/>
    <w:rsid w:val="008F4C14"/>
    <w:rsid w:val="008F7E3C"/>
    <w:rsid w:val="008F7FC7"/>
    <w:rsid w:val="008F7FF2"/>
    <w:rsid w:val="00900FD1"/>
    <w:rsid w:val="009118AC"/>
    <w:rsid w:val="00912D99"/>
    <w:rsid w:val="00913FAE"/>
    <w:rsid w:val="00917B37"/>
    <w:rsid w:val="00924D11"/>
    <w:rsid w:val="009306A5"/>
    <w:rsid w:val="009344DB"/>
    <w:rsid w:val="00934979"/>
    <w:rsid w:val="00937B0E"/>
    <w:rsid w:val="00945004"/>
    <w:rsid w:val="00952FEE"/>
    <w:rsid w:val="009537BA"/>
    <w:rsid w:val="009551B1"/>
    <w:rsid w:val="009568BF"/>
    <w:rsid w:val="00957008"/>
    <w:rsid w:val="00957043"/>
    <w:rsid w:val="009571CF"/>
    <w:rsid w:val="009603C8"/>
    <w:rsid w:val="00962FDD"/>
    <w:rsid w:val="009639E0"/>
    <w:rsid w:val="00965332"/>
    <w:rsid w:val="0096563C"/>
    <w:rsid w:val="00972AED"/>
    <w:rsid w:val="009768E5"/>
    <w:rsid w:val="00980B6B"/>
    <w:rsid w:val="00981C3A"/>
    <w:rsid w:val="00984C54"/>
    <w:rsid w:val="00985E88"/>
    <w:rsid w:val="009864A6"/>
    <w:rsid w:val="0098705E"/>
    <w:rsid w:val="00991A93"/>
    <w:rsid w:val="0099711F"/>
    <w:rsid w:val="009A0B77"/>
    <w:rsid w:val="009A261D"/>
    <w:rsid w:val="009A281E"/>
    <w:rsid w:val="009A5797"/>
    <w:rsid w:val="009A6A19"/>
    <w:rsid w:val="009B33AC"/>
    <w:rsid w:val="009B4077"/>
    <w:rsid w:val="009C27E9"/>
    <w:rsid w:val="009C3CCC"/>
    <w:rsid w:val="009D08A9"/>
    <w:rsid w:val="009D0E34"/>
    <w:rsid w:val="009E07C7"/>
    <w:rsid w:val="009E0D45"/>
    <w:rsid w:val="009E2260"/>
    <w:rsid w:val="009E22FE"/>
    <w:rsid w:val="009E31FC"/>
    <w:rsid w:val="009E77C4"/>
    <w:rsid w:val="009E7926"/>
    <w:rsid w:val="009F0DB9"/>
    <w:rsid w:val="009F6956"/>
    <w:rsid w:val="009F6F42"/>
    <w:rsid w:val="009F7F49"/>
    <w:rsid w:val="00A03CBB"/>
    <w:rsid w:val="00A10F4D"/>
    <w:rsid w:val="00A1100E"/>
    <w:rsid w:val="00A12828"/>
    <w:rsid w:val="00A143BC"/>
    <w:rsid w:val="00A147B3"/>
    <w:rsid w:val="00A15035"/>
    <w:rsid w:val="00A1603C"/>
    <w:rsid w:val="00A179A4"/>
    <w:rsid w:val="00A25B42"/>
    <w:rsid w:val="00A30CF1"/>
    <w:rsid w:val="00A35B30"/>
    <w:rsid w:val="00A35E7E"/>
    <w:rsid w:val="00A37331"/>
    <w:rsid w:val="00A448F0"/>
    <w:rsid w:val="00A4778D"/>
    <w:rsid w:val="00A50B71"/>
    <w:rsid w:val="00A50CF3"/>
    <w:rsid w:val="00A5600D"/>
    <w:rsid w:val="00A562BF"/>
    <w:rsid w:val="00A62151"/>
    <w:rsid w:val="00A66290"/>
    <w:rsid w:val="00A66EBD"/>
    <w:rsid w:val="00A67475"/>
    <w:rsid w:val="00A67A4E"/>
    <w:rsid w:val="00A70296"/>
    <w:rsid w:val="00A708D9"/>
    <w:rsid w:val="00A71AF6"/>
    <w:rsid w:val="00A75651"/>
    <w:rsid w:val="00A75B14"/>
    <w:rsid w:val="00A75B53"/>
    <w:rsid w:val="00A76C31"/>
    <w:rsid w:val="00A76EAA"/>
    <w:rsid w:val="00A77192"/>
    <w:rsid w:val="00A802A2"/>
    <w:rsid w:val="00A82800"/>
    <w:rsid w:val="00A84609"/>
    <w:rsid w:val="00A86168"/>
    <w:rsid w:val="00A90812"/>
    <w:rsid w:val="00A934A2"/>
    <w:rsid w:val="00A94E6B"/>
    <w:rsid w:val="00AA167C"/>
    <w:rsid w:val="00AA1BDD"/>
    <w:rsid w:val="00AA3A18"/>
    <w:rsid w:val="00AA701C"/>
    <w:rsid w:val="00AA7312"/>
    <w:rsid w:val="00AB59C0"/>
    <w:rsid w:val="00AB6FB1"/>
    <w:rsid w:val="00AC161E"/>
    <w:rsid w:val="00AC6EA7"/>
    <w:rsid w:val="00AC7799"/>
    <w:rsid w:val="00AC7E57"/>
    <w:rsid w:val="00AD531D"/>
    <w:rsid w:val="00AD6ECC"/>
    <w:rsid w:val="00AD775A"/>
    <w:rsid w:val="00AE1595"/>
    <w:rsid w:val="00AE3DDB"/>
    <w:rsid w:val="00AE427F"/>
    <w:rsid w:val="00AE4A41"/>
    <w:rsid w:val="00AE600A"/>
    <w:rsid w:val="00AE73D3"/>
    <w:rsid w:val="00AE7A38"/>
    <w:rsid w:val="00AF1FDB"/>
    <w:rsid w:val="00AF5A50"/>
    <w:rsid w:val="00AF7157"/>
    <w:rsid w:val="00AF7486"/>
    <w:rsid w:val="00AF75E8"/>
    <w:rsid w:val="00B00351"/>
    <w:rsid w:val="00B0393A"/>
    <w:rsid w:val="00B11BC0"/>
    <w:rsid w:val="00B131BD"/>
    <w:rsid w:val="00B1541E"/>
    <w:rsid w:val="00B15EAE"/>
    <w:rsid w:val="00B1734F"/>
    <w:rsid w:val="00B20A36"/>
    <w:rsid w:val="00B223F1"/>
    <w:rsid w:val="00B22539"/>
    <w:rsid w:val="00B240DB"/>
    <w:rsid w:val="00B2589C"/>
    <w:rsid w:val="00B26D4D"/>
    <w:rsid w:val="00B2735C"/>
    <w:rsid w:val="00B30CBC"/>
    <w:rsid w:val="00B32DBB"/>
    <w:rsid w:val="00B33257"/>
    <w:rsid w:val="00B36B99"/>
    <w:rsid w:val="00B3732B"/>
    <w:rsid w:val="00B408AB"/>
    <w:rsid w:val="00B40C17"/>
    <w:rsid w:val="00B426C3"/>
    <w:rsid w:val="00B4298B"/>
    <w:rsid w:val="00B435B5"/>
    <w:rsid w:val="00B4366C"/>
    <w:rsid w:val="00B43D84"/>
    <w:rsid w:val="00B45D36"/>
    <w:rsid w:val="00B473EF"/>
    <w:rsid w:val="00B50987"/>
    <w:rsid w:val="00B51DD7"/>
    <w:rsid w:val="00B51EDD"/>
    <w:rsid w:val="00B51FD1"/>
    <w:rsid w:val="00B53B84"/>
    <w:rsid w:val="00B544F1"/>
    <w:rsid w:val="00B54617"/>
    <w:rsid w:val="00B561FD"/>
    <w:rsid w:val="00B5637F"/>
    <w:rsid w:val="00B63716"/>
    <w:rsid w:val="00B64153"/>
    <w:rsid w:val="00B65600"/>
    <w:rsid w:val="00B71F4B"/>
    <w:rsid w:val="00B8032D"/>
    <w:rsid w:val="00B810D9"/>
    <w:rsid w:val="00B81C08"/>
    <w:rsid w:val="00B82C95"/>
    <w:rsid w:val="00B83463"/>
    <w:rsid w:val="00B83BB5"/>
    <w:rsid w:val="00B90A56"/>
    <w:rsid w:val="00B920C1"/>
    <w:rsid w:val="00B9429F"/>
    <w:rsid w:val="00B94CE9"/>
    <w:rsid w:val="00B957FD"/>
    <w:rsid w:val="00BA593E"/>
    <w:rsid w:val="00BA7BAF"/>
    <w:rsid w:val="00BB03C2"/>
    <w:rsid w:val="00BB0A89"/>
    <w:rsid w:val="00BB56C6"/>
    <w:rsid w:val="00BB6E9D"/>
    <w:rsid w:val="00BC0BC0"/>
    <w:rsid w:val="00BC2260"/>
    <w:rsid w:val="00BC3F2D"/>
    <w:rsid w:val="00BC3F87"/>
    <w:rsid w:val="00BD3BD1"/>
    <w:rsid w:val="00BD4AFC"/>
    <w:rsid w:val="00BD5CD0"/>
    <w:rsid w:val="00BD6215"/>
    <w:rsid w:val="00BD6720"/>
    <w:rsid w:val="00BE2022"/>
    <w:rsid w:val="00BE2F77"/>
    <w:rsid w:val="00BE318E"/>
    <w:rsid w:val="00BF51DB"/>
    <w:rsid w:val="00BF6480"/>
    <w:rsid w:val="00C01A20"/>
    <w:rsid w:val="00C039DA"/>
    <w:rsid w:val="00C051BE"/>
    <w:rsid w:val="00C05C10"/>
    <w:rsid w:val="00C05D31"/>
    <w:rsid w:val="00C07D9B"/>
    <w:rsid w:val="00C13F52"/>
    <w:rsid w:val="00C147E1"/>
    <w:rsid w:val="00C169DD"/>
    <w:rsid w:val="00C26135"/>
    <w:rsid w:val="00C274EA"/>
    <w:rsid w:val="00C2799E"/>
    <w:rsid w:val="00C32456"/>
    <w:rsid w:val="00C3695F"/>
    <w:rsid w:val="00C4206B"/>
    <w:rsid w:val="00C44DCF"/>
    <w:rsid w:val="00C4570A"/>
    <w:rsid w:val="00C46C01"/>
    <w:rsid w:val="00C47D8E"/>
    <w:rsid w:val="00C5032C"/>
    <w:rsid w:val="00C5315F"/>
    <w:rsid w:val="00C545F5"/>
    <w:rsid w:val="00C55AD6"/>
    <w:rsid w:val="00C61DEB"/>
    <w:rsid w:val="00C62D41"/>
    <w:rsid w:val="00C64094"/>
    <w:rsid w:val="00C651CE"/>
    <w:rsid w:val="00C7227B"/>
    <w:rsid w:val="00C73DD1"/>
    <w:rsid w:val="00C741E9"/>
    <w:rsid w:val="00C7471A"/>
    <w:rsid w:val="00C77110"/>
    <w:rsid w:val="00C81AC1"/>
    <w:rsid w:val="00C879A0"/>
    <w:rsid w:val="00C87D9B"/>
    <w:rsid w:val="00C900D0"/>
    <w:rsid w:val="00C90711"/>
    <w:rsid w:val="00C97186"/>
    <w:rsid w:val="00CA0803"/>
    <w:rsid w:val="00CA2059"/>
    <w:rsid w:val="00CA2BA5"/>
    <w:rsid w:val="00CA40DC"/>
    <w:rsid w:val="00CB2BDB"/>
    <w:rsid w:val="00CB31E1"/>
    <w:rsid w:val="00CB40E6"/>
    <w:rsid w:val="00CB5413"/>
    <w:rsid w:val="00CB5F52"/>
    <w:rsid w:val="00CB72BA"/>
    <w:rsid w:val="00CC126D"/>
    <w:rsid w:val="00CC1956"/>
    <w:rsid w:val="00CC3F1A"/>
    <w:rsid w:val="00CC5068"/>
    <w:rsid w:val="00CC6F50"/>
    <w:rsid w:val="00CD0CBF"/>
    <w:rsid w:val="00CD3AC1"/>
    <w:rsid w:val="00CD4C40"/>
    <w:rsid w:val="00CD55A2"/>
    <w:rsid w:val="00CE121F"/>
    <w:rsid w:val="00CE25D5"/>
    <w:rsid w:val="00CE2B17"/>
    <w:rsid w:val="00CE4902"/>
    <w:rsid w:val="00CF106C"/>
    <w:rsid w:val="00CF4A6F"/>
    <w:rsid w:val="00CF4BBE"/>
    <w:rsid w:val="00CF7E1C"/>
    <w:rsid w:val="00D0051B"/>
    <w:rsid w:val="00D00C6E"/>
    <w:rsid w:val="00D02D25"/>
    <w:rsid w:val="00D02EE8"/>
    <w:rsid w:val="00D04244"/>
    <w:rsid w:val="00D056BE"/>
    <w:rsid w:val="00D06A98"/>
    <w:rsid w:val="00D07105"/>
    <w:rsid w:val="00D071AC"/>
    <w:rsid w:val="00D10757"/>
    <w:rsid w:val="00D1385C"/>
    <w:rsid w:val="00D14C43"/>
    <w:rsid w:val="00D308BF"/>
    <w:rsid w:val="00D31970"/>
    <w:rsid w:val="00D33B24"/>
    <w:rsid w:val="00D35807"/>
    <w:rsid w:val="00D3667A"/>
    <w:rsid w:val="00D36B78"/>
    <w:rsid w:val="00D3730E"/>
    <w:rsid w:val="00D4074D"/>
    <w:rsid w:val="00D42181"/>
    <w:rsid w:val="00D43C52"/>
    <w:rsid w:val="00D45C46"/>
    <w:rsid w:val="00D47F67"/>
    <w:rsid w:val="00D4E569"/>
    <w:rsid w:val="00D50B91"/>
    <w:rsid w:val="00D527F4"/>
    <w:rsid w:val="00D52EB4"/>
    <w:rsid w:val="00D53746"/>
    <w:rsid w:val="00D54509"/>
    <w:rsid w:val="00D54B03"/>
    <w:rsid w:val="00D5739F"/>
    <w:rsid w:val="00D61379"/>
    <w:rsid w:val="00D629D8"/>
    <w:rsid w:val="00D62D8C"/>
    <w:rsid w:val="00D65671"/>
    <w:rsid w:val="00D659AC"/>
    <w:rsid w:val="00D662A6"/>
    <w:rsid w:val="00D67B35"/>
    <w:rsid w:val="00D67DCC"/>
    <w:rsid w:val="00D71029"/>
    <w:rsid w:val="00D7181D"/>
    <w:rsid w:val="00D71FC0"/>
    <w:rsid w:val="00D72522"/>
    <w:rsid w:val="00D7279E"/>
    <w:rsid w:val="00D7341A"/>
    <w:rsid w:val="00D748CA"/>
    <w:rsid w:val="00D77A5A"/>
    <w:rsid w:val="00D803A2"/>
    <w:rsid w:val="00D804B7"/>
    <w:rsid w:val="00D83350"/>
    <w:rsid w:val="00D836CF"/>
    <w:rsid w:val="00D84572"/>
    <w:rsid w:val="00D87904"/>
    <w:rsid w:val="00D8E6A9"/>
    <w:rsid w:val="00D90113"/>
    <w:rsid w:val="00D91837"/>
    <w:rsid w:val="00D9406A"/>
    <w:rsid w:val="00D954E7"/>
    <w:rsid w:val="00D955E3"/>
    <w:rsid w:val="00DA06A3"/>
    <w:rsid w:val="00DA31E9"/>
    <w:rsid w:val="00DA4AE9"/>
    <w:rsid w:val="00DA5DC0"/>
    <w:rsid w:val="00DA6823"/>
    <w:rsid w:val="00DB128B"/>
    <w:rsid w:val="00DB2D12"/>
    <w:rsid w:val="00DB4DAF"/>
    <w:rsid w:val="00DB7277"/>
    <w:rsid w:val="00DC0C0D"/>
    <w:rsid w:val="00DC1279"/>
    <w:rsid w:val="00DC1CD4"/>
    <w:rsid w:val="00DC578D"/>
    <w:rsid w:val="00DC7C6B"/>
    <w:rsid w:val="00DD0A34"/>
    <w:rsid w:val="00DD1259"/>
    <w:rsid w:val="00DD16ED"/>
    <w:rsid w:val="00DD3864"/>
    <w:rsid w:val="00DD4528"/>
    <w:rsid w:val="00DE2C0F"/>
    <w:rsid w:val="00DE310D"/>
    <w:rsid w:val="00DE38C8"/>
    <w:rsid w:val="00DE38EC"/>
    <w:rsid w:val="00DE639E"/>
    <w:rsid w:val="00DE65B7"/>
    <w:rsid w:val="00DE7003"/>
    <w:rsid w:val="00DE7883"/>
    <w:rsid w:val="00DF2CBF"/>
    <w:rsid w:val="00DF4841"/>
    <w:rsid w:val="00DF4B72"/>
    <w:rsid w:val="00DF7080"/>
    <w:rsid w:val="00E01295"/>
    <w:rsid w:val="00E01335"/>
    <w:rsid w:val="00E01E31"/>
    <w:rsid w:val="00E02C03"/>
    <w:rsid w:val="00E04AE7"/>
    <w:rsid w:val="00E04F69"/>
    <w:rsid w:val="00E11F3F"/>
    <w:rsid w:val="00E13025"/>
    <w:rsid w:val="00E13980"/>
    <w:rsid w:val="00E14639"/>
    <w:rsid w:val="00E157D0"/>
    <w:rsid w:val="00E15D0D"/>
    <w:rsid w:val="00E2046E"/>
    <w:rsid w:val="00E21EE7"/>
    <w:rsid w:val="00E23237"/>
    <w:rsid w:val="00E24BB8"/>
    <w:rsid w:val="00E30AB1"/>
    <w:rsid w:val="00E31304"/>
    <w:rsid w:val="00E33051"/>
    <w:rsid w:val="00E37C57"/>
    <w:rsid w:val="00E4247E"/>
    <w:rsid w:val="00E45E5B"/>
    <w:rsid w:val="00E46543"/>
    <w:rsid w:val="00E468B6"/>
    <w:rsid w:val="00E55A1E"/>
    <w:rsid w:val="00E5693D"/>
    <w:rsid w:val="00E607CA"/>
    <w:rsid w:val="00E61BCE"/>
    <w:rsid w:val="00E61E44"/>
    <w:rsid w:val="00E629E1"/>
    <w:rsid w:val="00E63597"/>
    <w:rsid w:val="00E671D8"/>
    <w:rsid w:val="00E73130"/>
    <w:rsid w:val="00E74D74"/>
    <w:rsid w:val="00E75A5A"/>
    <w:rsid w:val="00E76AFE"/>
    <w:rsid w:val="00E77415"/>
    <w:rsid w:val="00E8159D"/>
    <w:rsid w:val="00E84241"/>
    <w:rsid w:val="00E868E8"/>
    <w:rsid w:val="00E93942"/>
    <w:rsid w:val="00E93AC3"/>
    <w:rsid w:val="00E94992"/>
    <w:rsid w:val="00E95435"/>
    <w:rsid w:val="00E969BB"/>
    <w:rsid w:val="00EA056B"/>
    <w:rsid w:val="00EA370E"/>
    <w:rsid w:val="00EA3F45"/>
    <w:rsid w:val="00EA753F"/>
    <w:rsid w:val="00EB3061"/>
    <w:rsid w:val="00EB4AB8"/>
    <w:rsid w:val="00EB6B24"/>
    <w:rsid w:val="00EB6B30"/>
    <w:rsid w:val="00EC1F5C"/>
    <w:rsid w:val="00EC202D"/>
    <w:rsid w:val="00EC2717"/>
    <w:rsid w:val="00EC3481"/>
    <w:rsid w:val="00ED02D9"/>
    <w:rsid w:val="00ED05E0"/>
    <w:rsid w:val="00ED08E9"/>
    <w:rsid w:val="00ED4029"/>
    <w:rsid w:val="00ED42F7"/>
    <w:rsid w:val="00ED51D9"/>
    <w:rsid w:val="00EE175F"/>
    <w:rsid w:val="00EE51FA"/>
    <w:rsid w:val="00EF2965"/>
    <w:rsid w:val="00EF2F8C"/>
    <w:rsid w:val="00EF4D55"/>
    <w:rsid w:val="00EF5517"/>
    <w:rsid w:val="00F015C3"/>
    <w:rsid w:val="00F028E5"/>
    <w:rsid w:val="00F032DB"/>
    <w:rsid w:val="00F11293"/>
    <w:rsid w:val="00F13614"/>
    <w:rsid w:val="00F201E7"/>
    <w:rsid w:val="00F20534"/>
    <w:rsid w:val="00F20D76"/>
    <w:rsid w:val="00F22F37"/>
    <w:rsid w:val="00F23BD8"/>
    <w:rsid w:val="00F23C92"/>
    <w:rsid w:val="00F25C7A"/>
    <w:rsid w:val="00F275D6"/>
    <w:rsid w:val="00F32A80"/>
    <w:rsid w:val="00F33B40"/>
    <w:rsid w:val="00F340D2"/>
    <w:rsid w:val="00F41662"/>
    <w:rsid w:val="00F42B92"/>
    <w:rsid w:val="00F45274"/>
    <w:rsid w:val="00F46677"/>
    <w:rsid w:val="00F504DC"/>
    <w:rsid w:val="00F51C97"/>
    <w:rsid w:val="00F556D1"/>
    <w:rsid w:val="00F57994"/>
    <w:rsid w:val="00F6074F"/>
    <w:rsid w:val="00F61B6A"/>
    <w:rsid w:val="00F71AEE"/>
    <w:rsid w:val="00F75D7C"/>
    <w:rsid w:val="00F77756"/>
    <w:rsid w:val="00F861C1"/>
    <w:rsid w:val="00F866D0"/>
    <w:rsid w:val="00F90296"/>
    <w:rsid w:val="00F9153B"/>
    <w:rsid w:val="00F91A82"/>
    <w:rsid w:val="00F92E9E"/>
    <w:rsid w:val="00F965B6"/>
    <w:rsid w:val="00F975AF"/>
    <w:rsid w:val="00F97F01"/>
    <w:rsid w:val="00FA27BA"/>
    <w:rsid w:val="00FA2C8C"/>
    <w:rsid w:val="00FA5D7C"/>
    <w:rsid w:val="00FA7FF6"/>
    <w:rsid w:val="00FB2AE9"/>
    <w:rsid w:val="00FB4C1B"/>
    <w:rsid w:val="00FC37B5"/>
    <w:rsid w:val="00FC4C57"/>
    <w:rsid w:val="00FD19B6"/>
    <w:rsid w:val="00FD4F5D"/>
    <w:rsid w:val="00FD567A"/>
    <w:rsid w:val="00FE2B46"/>
    <w:rsid w:val="00FE342D"/>
    <w:rsid w:val="00FE4381"/>
    <w:rsid w:val="00FE69C1"/>
    <w:rsid w:val="00FF1F7D"/>
    <w:rsid w:val="00FF315D"/>
    <w:rsid w:val="00FF4380"/>
    <w:rsid w:val="00FF4B96"/>
    <w:rsid w:val="00FF6DA7"/>
    <w:rsid w:val="0184A664"/>
    <w:rsid w:val="018E5277"/>
    <w:rsid w:val="01A63810"/>
    <w:rsid w:val="01BB9D49"/>
    <w:rsid w:val="02C8AE84"/>
    <w:rsid w:val="040A40EB"/>
    <w:rsid w:val="041E7A78"/>
    <w:rsid w:val="045650C5"/>
    <w:rsid w:val="046983CF"/>
    <w:rsid w:val="0485C237"/>
    <w:rsid w:val="048A509B"/>
    <w:rsid w:val="04E2E96F"/>
    <w:rsid w:val="050CABB4"/>
    <w:rsid w:val="053510E4"/>
    <w:rsid w:val="056EB80E"/>
    <w:rsid w:val="0581517F"/>
    <w:rsid w:val="059C192E"/>
    <w:rsid w:val="05B8A093"/>
    <w:rsid w:val="06509EFC"/>
    <w:rsid w:val="065546D5"/>
    <w:rsid w:val="069C8F19"/>
    <w:rsid w:val="06B2BBB8"/>
    <w:rsid w:val="06B41B66"/>
    <w:rsid w:val="074D38E4"/>
    <w:rsid w:val="0756BA8D"/>
    <w:rsid w:val="07B883E7"/>
    <w:rsid w:val="082914FD"/>
    <w:rsid w:val="082D9899"/>
    <w:rsid w:val="0852DC9D"/>
    <w:rsid w:val="086E8323"/>
    <w:rsid w:val="08B044A5"/>
    <w:rsid w:val="0900679C"/>
    <w:rsid w:val="09FFD781"/>
    <w:rsid w:val="0A7BD851"/>
    <w:rsid w:val="0A80E49E"/>
    <w:rsid w:val="0A8DB55E"/>
    <w:rsid w:val="0B2B0BFC"/>
    <w:rsid w:val="0BA11DDC"/>
    <w:rsid w:val="0BD2A113"/>
    <w:rsid w:val="0C301427"/>
    <w:rsid w:val="0C460BC8"/>
    <w:rsid w:val="0C893E85"/>
    <w:rsid w:val="0CA54D60"/>
    <w:rsid w:val="0D481ECD"/>
    <w:rsid w:val="0D671FC5"/>
    <w:rsid w:val="0DAAD68B"/>
    <w:rsid w:val="0E090C00"/>
    <w:rsid w:val="0E320C56"/>
    <w:rsid w:val="0E4022BA"/>
    <w:rsid w:val="0EA4F018"/>
    <w:rsid w:val="0EC2F6AF"/>
    <w:rsid w:val="0EE33293"/>
    <w:rsid w:val="0EE3D600"/>
    <w:rsid w:val="0EF1808C"/>
    <w:rsid w:val="0F4CFCC8"/>
    <w:rsid w:val="0F810C2A"/>
    <w:rsid w:val="0F9C9893"/>
    <w:rsid w:val="0FA369A5"/>
    <w:rsid w:val="0FAE19C1"/>
    <w:rsid w:val="0FD9EDDA"/>
    <w:rsid w:val="103876A2"/>
    <w:rsid w:val="10584DED"/>
    <w:rsid w:val="1066D020"/>
    <w:rsid w:val="115637B1"/>
    <w:rsid w:val="11D16ACF"/>
    <w:rsid w:val="11EA23B6"/>
    <w:rsid w:val="11F65049"/>
    <w:rsid w:val="12642887"/>
    <w:rsid w:val="1267AA37"/>
    <w:rsid w:val="12B5F250"/>
    <w:rsid w:val="12E8FC5C"/>
    <w:rsid w:val="13020950"/>
    <w:rsid w:val="138218F8"/>
    <w:rsid w:val="1383068C"/>
    <w:rsid w:val="13F3EC7B"/>
    <w:rsid w:val="1472FBBC"/>
    <w:rsid w:val="14B98171"/>
    <w:rsid w:val="1541419E"/>
    <w:rsid w:val="1597EF79"/>
    <w:rsid w:val="1617E2DC"/>
    <w:rsid w:val="16A25B6F"/>
    <w:rsid w:val="16DB9DE0"/>
    <w:rsid w:val="16DEA914"/>
    <w:rsid w:val="1703E4F6"/>
    <w:rsid w:val="18318D3B"/>
    <w:rsid w:val="183D99DA"/>
    <w:rsid w:val="18EC5E3D"/>
    <w:rsid w:val="191519A1"/>
    <w:rsid w:val="19BBC91A"/>
    <w:rsid w:val="1A100498"/>
    <w:rsid w:val="1A1FAC44"/>
    <w:rsid w:val="1A2550A4"/>
    <w:rsid w:val="1A4D3511"/>
    <w:rsid w:val="1A80E21C"/>
    <w:rsid w:val="1AFD650E"/>
    <w:rsid w:val="1AFFCEBD"/>
    <w:rsid w:val="1B314370"/>
    <w:rsid w:val="1B373BAA"/>
    <w:rsid w:val="1B5F4457"/>
    <w:rsid w:val="1BB79FAF"/>
    <w:rsid w:val="1BFD6CA8"/>
    <w:rsid w:val="1C0A3B1F"/>
    <w:rsid w:val="1C2B548A"/>
    <w:rsid w:val="1C2C1D26"/>
    <w:rsid w:val="1CB2BC05"/>
    <w:rsid w:val="1CD35E8A"/>
    <w:rsid w:val="1D0B447C"/>
    <w:rsid w:val="1D0C9F46"/>
    <w:rsid w:val="1D47E8C3"/>
    <w:rsid w:val="1D8832E3"/>
    <w:rsid w:val="1D88FE6C"/>
    <w:rsid w:val="1DB96FCD"/>
    <w:rsid w:val="1E2DB237"/>
    <w:rsid w:val="1E3B40FC"/>
    <w:rsid w:val="1E90DF79"/>
    <w:rsid w:val="1E9B0E86"/>
    <w:rsid w:val="1EB506C5"/>
    <w:rsid w:val="1EE9E2AC"/>
    <w:rsid w:val="1EFB3488"/>
    <w:rsid w:val="1F8F91E7"/>
    <w:rsid w:val="1F8FE794"/>
    <w:rsid w:val="1F9ACA6E"/>
    <w:rsid w:val="1FA83273"/>
    <w:rsid w:val="200CE0CD"/>
    <w:rsid w:val="206841B8"/>
    <w:rsid w:val="2094468D"/>
    <w:rsid w:val="20BA539E"/>
    <w:rsid w:val="20FE93F6"/>
    <w:rsid w:val="21084A73"/>
    <w:rsid w:val="21109658"/>
    <w:rsid w:val="21A89055"/>
    <w:rsid w:val="21F432E8"/>
    <w:rsid w:val="22592463"/>
    <w:rsid w:val="22A69C48"/>
    <w:rsid w:val="23002966"/>
    <w:rsid w:val="23392A49"/>
    <w:rsid w:val="237F0058"/>
    <w:rsid w:val="238D4782"/>
    <w:rsid w:val="23DBDB96"/>
    <w:rsid w:val="247B8599"/>
    <w:rsid w:val="24C35424"/>
    <w:rsid w:val="24C6C69D"/>
    <w:rsid w:val="24CD1778"/>
    <w:rsid w:val="24F73B19"/>
    <w:rsid w:val="24FA9985"/>
    <w:rsid w:val="256256B5"/>
    <w:rsid w:val="256EAD61"/>
    <w:rsid w:val="2584AF85"/>
    <w:rsid w:val="25893FE3"/>
    <w:rsid w:val="25B9BF73"/>
    <w:rsid w:val="260A4E80"/>
    <w:rsid w:val="269FF041"/>
    <w:rsid w:val="26AFE5A4"/>
    <w:rsid w:val="26FB2ABA"/>
    <w:rsid w:val="272649D8"/>
    <w:rsid w:val="282BD9B7"/>
    <w:rsid w:val="2877FF36"/>
    <w:rsid w:val="28DB3302"/>
    <w:rsid w:val="28F59E4E"/>
    <w:rsid w:val="29235B53"/>
    <w:rsid w:val="2926F007"/>
    <w:rsid w:val="294875C3"/>
    <w:rsid w:val="29A99E6E"/>
    <w:rsid w:val="29FAAE82"/>
    <w:rsid w:val="2AA2A284"/>
    <w:rsid w:val="2AD1363A"/>
    <w:rsid w:val="2B511A17"/>
    <w:rsid w:val="2B6339D8"/>
    <w:rsid w:val="2BE9B67C"/>
    <w:rsid w:val="2BF172A3"/>
    <w:rsid w:val="2BFA2331"/>
    <w:rsid w:val="2C0BAB06"/>
    <w:rsid w:val="2C4CF73E"/>
    <w:rsid w:val="2CE508D1"/>
    <w:rsid w:val="2D16E9C9"/>
    <w:rsid w:val="2EAC7D05"/>
    <w:rsid w:val="2EE65274"/>
    <w:rsid w:val="2F33A778"/>
    <w:rsid w:val="2F903138"/>
    <w:rsid w:val="303780FA"/>
    <w:rsid w:val="30509A07"/>
    <w:rsid w:val="30A46491"/>
    <w:rsid w:val="3131063B"/>
    <w:rsid w:val="3212A68C"/>
    <w:rsid w:val="32176B18"/>
    <w:rsid w:val="32BA95F6"/>
    <w:rsid w:val="3310A91A"/>
    <w:rsid w:val="3343EF95"/>
    <w:rsid w:val="3399FF78"/>
    <w:rsid w:val="33CAF54D"/>
    <w:rsid w:val="3419D3D5"/>
    <w:rsid w:val="342E2E1A"/>
    <w:rsid w:val="345CAEBD"/>
    <w:rsid w:val="34E139AC"/>
    <w:rsid w:val="3547D9DC"/>
    <w:rsid w:val="3560799E"/>
    <w:rsid w:val="35A91A20"/>
    <w:rsid w:val="35CDF1A4"/>
    <w:rsid w:val="362473E8"/>
    <w:rsid w:val="367E6FE1"/>
    <w:rsid w:val="3712E3D7"/>
    <w:rsid w:val="376309F1"/>
    <w:rsid w:val="37A8CE04"/>
    <w:rsid w:val="383F3365"/>
    <w:rsid w:val="385199E9"/>
    <w:rsid w:val="38655055"/>
    <w:rsid w:val="386DC356"/>
    <w:rsid w:val="39358F9B"/>
    <w:rsid w:val="395077EA"/>
    <w:rsid w:val="39AF2675"/>
    <w:rsid w:val="3A5795CE"/>
    <w:rsid w:val="3A71166B"/>
    <w:rsid w:val="3AE6CF9B"/>
    <w:rsid w:val="3AED48A2"/>
    <w:rsid w:val="3B71F4F8"/>
    <w:rsid w:val="3B8C9D8B"/>
    <w:rsid w:val="3C77B5D8"/>
    <w:rsid w:val="3CDB48FA"/>
    <w:rsid w:val="3D6A2037"/>
    <w:rsid w:val="3D87B327"/>
    <w:rsid w:val="3D9F5470"/>
    <w:rsid w:val="3DA2F275"/>
    <w:rsid w:val="3DF41763"/>
    <w:rsid w:val="3E046EE9"/>
    <w:rsid w:val="3EA53776"/>
    <w:rsid w:val="3ED16979"/>
    <w:rsid w:val="3F3507D6"/>
    <w:rsid w:val="3F420C92"/>
    <w:rsid w:val="3F7CEC47"/>
    <w:rsid w:val="3F946D50"/>
    <w:rsid w:val="3FA94749"/>
    <w:rsid w:val="3FDCD18D"/>
    <w:rsid w:val="4016B80A"/>
    <w:rsid w:val="40361891"/>
    <w:rsid w:val="407AE930"/>
    <w:rsid w:val="40A1CB43"/>
    <w:rsid w:val="41805358"/>
    <w:rsid w:val="41DA896E"/>
    <w:rsid w:val="41E4727F"/>
    <w:rsid w:val="42215847"/>
    <w:rsid w:val="423D5650"/>
    <w:rsid w:val="428C35F7"/>
    <w:rsid w:val="42B3F3AA"/>
    <w:rsid w:val="43172D40"/>
    <w:rsid w:val="43236109"/>
    <w:rsid w:val="438C016D"/>
    <w:rsid w:val="43ADB681"/>
    <w:rsid w:val="43C5FF00"/>
    <w:rsid w:val="44256004"/>
    <w:rsid w:val="4456DD8B"/>
    <w:rsid w:val="45486110"/>
    <w:rsid w:val="4553FD63"/>
    <w:rsid w:val="458A84A0"/>
    <w:rsid w:val="46023F37"/>
    <w:rsid w:val="4607DEE6"/>
    <w:rsid w:val="46624C66"/>
    <w:rsid w:val="46857687"/>
    <w:rsid w:val="46B24411"/>
    <w:rsid w:val="46CFA7C4"/>
    <w:rsid w:val="4719E8B6"/>
    <w:rsid w:val="47FE8429"/>
    <w:rsid w:val="48D21BCE"/>
    <w:rsid w:val="48E79857"/>
    <w:rsid w:val="494DEFA7"/>
    <w:rsid w:val="4A4061E6"/>
    <w:rsid w:val="4A66F3BF"/>
    <w:rsid w:val="4A90B582"/>
    <w:rsid w:val="4B378CBD"/>
    <w:rsid w:val="4B3A20DE"/>
    <w:rsid w:val="4B79A6B8"/>
    <w:rsid w:val="4BB62A1E"/>
    <w:rsid w:val="4C578BA8"/>
    <w:rsid w:val="4CACC905"/>
    <w:rsid w:val="4D238441"/>
    <w:rsid w:val="4DC45893"/>
    <w:rsid w:val="4EEDC5DB"/>
    <w:rsid w:val="4EF147D8"/>
    <w:rsid w:val="4F0FC27F"/>
    <w:rsid w:val="4F14F36B"/>
    <w:rsid w:val="4F5E0835"/>
    <w:rsid w:val="4F68178D"/>
    <w:rsid w:val="4F97FD1A"/>
    <w:rsid w:val="4FB85B1B"/>
    <w:rsid w:val="4FE2736C"/>
    <w:rsid w:val="50959B27"/>
    <w:rsid w:val="51B35319"/>
    <w:rsid w:val="51C20BFF"/>
    <w:rsid w:val="51C4A76F"/>
    <w:rsid w:val="51DC426E"/>
    <w:rsid w:val="52382F9C"/>
    <w:rsid w:val="5253C091"/>
    <w:rsid w:val="52912AC2"/>
    <w:rsid w:val="52959052"/>
    <w:rsid w:val="529725D5"/>
    <w:rsid w:val="53098C79"/>
    <w:rsid w:val="532CFA77"/>
    <w:rsid w:val="538E0246"/>
    <w:rsid w:val="53B4E4EB"/>
    <w:rsid w:val="54264756"/>
    <w:rsid w:val="542B9250"/>
    <w:rsid w:val="54A51813"/>
    <w:rsid w:val="5514707F"/>
    <w:rsid w:val="5529B96E"/>
    <w:rsid w:val="56C440CD"/>
    <w:rsid w:val="572D0776"/>
    <w:rsid w:val="57356881"/>
    <w:rsid w:val="577588C9"/>
    <w:rsid w:val="581A0546"/>
    <w:rsid w:val="583F716F"/>
    <w:rsid w:val="5844999D"/>
    <w:rsid w:val="58C57096"/>
    <w:rsid w:val="58E85C6A"/>
    <w:rsid w:val="59008BD4"/>
    <w:rsid w:val="59BCF131"/>
    <w:rsid w:val="5A6DFCC3"/>
    <w:rsid w:val="5B60043B"/>
    <w:rsid w:val="5B636CD9"/>
    <w:rsid w:val="5B9D5A7C"/>
    <w:rsid w:val="5BBA432E"/>
    <w:rsid w:val="5C0F1682"/>
    <w:rsid w:val="5C638235"/>
    <w:rsid w:val="5CFA18AA"/>
    <w:rsid w:val="5D5F0E79"/>
    <w:rsid w:val="5DE3EE13"/>
    <w:rsid w:val="5E06172B"/>
    <w:rsid w:val="5E0695A1"/>
    <w:rsid w:val="5E13CADA"/>
    <w:rsid w:val="5E2AA884"/>
    <w:rsid w:val="5E7F963B"/>
    <w:rsid w:val="5E82814A"/>
    <w:rsid w:val="5EAB3C35"/>
    <w:rsid w:val="5F79ED42"/>
    <w:rsid w:val="5F91AA31"/>
    <w:rsid w:val="5FF8FE1D"/>
    <w:rsid w:val="6010A651"/>
    <w:rsid w:val="60524AA8"/>
    <w:rsid w:val="60E00CE9"/>
    <w:rsid w:val="60EC3B39"/>
    <w:rsid w:val="61679D76"/>
    <w:rsid w:val="617395D7"/>
    <w:rsid w:val="634F69C9"/>
    <w:rsid w:val="637B834B"/>
    <w:rsid w:val="6381C3DC"/>
    <w:rsid w:val="638D42B4"/>
    <w:rsid w:val="6398A502"/>
    <w:rsid w:val="63D27601"/>
    <w:rsid w:val="6484C469"/>
    <w:rsid w:val="64E42D7F"/>
    <w:rsid w:val="64FBE2A3"/>
    <w:rsid w:val="6644FC38"/>
    <w:rsid w:val="667BB8BA"/>
    <w:rsid w:val="66A913D8"/>
    <w:rsid w:val="6701FC1C"/>
    <w:rsid w:val="673188C3"/>
    <w:rsid w:val="676E6CFF"/>
    <w:rsid w:val="6831F134"/>
    <w:rsid w:val="68B4A6CD"/>
    <w:rsid w:val="693FEACD"/>
    <w:rsid w:val="6ACCD5EE"/>
    <w:rsid w:val="6AFB2A8A"/>
    <w:rsid w:val="6B69A427"/>
    <w:rsid w:val="6BAF6F9C"/>
    <w:rsid w:val="6BB9A5D1"/>
    <w:rsid w:val="6BE4F6E5"/>
    <w:rsid w:val="6C01F934"/>
    <w:rsid w:val="6C14F884"/>
    <w:rsid w:val="6C19F6CF"/>
    <w:rsid w:val="6C76427C"/>
    <w:rsid w:val="6CD547CD"/>
    <w:rsid w:val="6CF662CF"/>
    <w:rsid w:val="6D60E363"/>
    <w:rsid w:val="6D79BD1D"/>
    <w:rsid w:val="6DDB52B0"/>
    <w:rsid w:val="6E2536DD"/>
    <w:rsid w:val="6E2C7BD6"/>
    <w:rsid w:val="6E9EABC9"/>
    <w:rsid w:val="6ECE9BAC"/>
    <w:rsid w:val="6EFBE2CF"/>
    <w:rsid w:val="6F0191BB"/>
    <w:rsid w:val="6F15FEE5"/>
    <w:rsid w:val="6F1D05B5"/>
    <w:rsid w:val="6FB88A2F"/>
    <w:rsid w:val="6FFD8F7C"/>
    <w:rsid w:val="706B1741"/>
    <w:rsid w:val="70D71224"/>
    <w:rsid w:val="7186537D"/>
    <w:rsid w:val="718BF091"/>
    <w:rsid w:val="71A685AC"/>
    <w:rsid w:val="71FEDC49"/>
    <w:rsid w:val="720E2676"/>
    <w:rsid w:val="7228C578"/>
    <w:rsid w:val="725DD971"/>
    <w:rsid w:val="725E4D9F"/>
    <w:rsid w:val="72DA1443"/>
    <w:rsid w:val="737CC795"/>
    <w:rsid w:val="7462D574"/>
    <w:rsid w:val="74DF18DA"/>
    <w:rsid w:val="7504BCBD"/>
    <w:rsid w:val="750B8E68"/>
    <w:rsid w:val="751230BB"/>
    <w:rsid w:val="755F498F"/>
    <w:rsid w:val="7599A727"/>
    <w:rsid w:val="75A15B46"/>
    <w:rsid w:val="75F2CE2D"/>
    <w:rsid w:val="7617AF73"/>
    <w:rsid w:val="7654968A"/>
    <w:rsid w:val="766123A8"/>
    <w:rsid w:val="767557B3"/>
    <w:rsid w:val="768AC530"/>
    <w:rsid w:val="77B99216"/>
    <w:rsid w:val="77E45E68"/>
    <w:rsid w:val="77F12CFB"/>
    <w:rsid w:val="77F43C87"/>
    <w:rsid w:val="78140E0F"/>
    <w:rsid w:val="7885A08A"/>
    <w:rsid w:val="78B45D41"/>
    <w:rsid w:val="796F3FA9"/>
    <w:rsid w:val="79C98CED"/>
    <w:rsid w:val="7B00C5E4"/>
    <w:rsid w:val="7B07AA33"/>
    <w:rsid w:val="7B281754"/>
    <w:rsid w:val="7B5B17EB"/>
    <w:rsid w:val="7B63C04A"/>
    <w:rsid w:val="7B63E2A3"/>
    <w:rsid w:val="7B67F52E"/>
    <w:rsid w:val="7BC98075"/>
    <w:rsid w:val="7BF327A7"/>
    <w:rsid w:val="7C1D4E48"/>
    <w:rsid w:val="7C2AF40B"/>
    <w:rsid w:val="7C70B7C9"/>
    <w:rsid w:val="7C7BF752"/>
    <w:rsid w:val="7C87CC2E"/>
    <w:rsid w:val="7D108875"/>
    <w:rsid w:val="7D5C7C47"/>
    <w:rsid w:val="7D8534C8"/>
    <w:rsid w:val="7DC4DB5A"/>
    <w:rsid w:val="7E18C09B"/>
    <w:rsid w:val="7EA85104"/>
    <w:rsid w:val="7EFEAC51"/>
    <w:rsid w:val="7F1A6DBB"/>
    <w:rsid w:val="7F5CB190"/>
    <w:rsid w:val="7F77D4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98651"/>
  <w15:docId w15:val="{A28528B5-7426-45C6-940F-89839EF4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9B9"/>
    <w:pPr>
      <w:widowControl w:val="0"/>
    </w:pPr>
    <w:rPr>
      <w:snapToGrid w:val="0"/>
      <w:sz w:val="24"/>
      <w:lang w:eastAsia="en-US"/>
    </w:rPr>
  </w:style>
  <w:style w:type="paragraph" w:styleId="Heading1">
    <w:name w:val="heading 1"/>
    <w:basedOn w:val="Normal"/>
    <w:next w:val="Normal"/>
    <w:link w:val="Heading1Char"/>
    <w:autoRedefine/>
    <w:uiPriority w:val="1"/>
    <w:qFormat/>
    <w:rsid w:val="007947EE"/>
    <w:pPr>
      <w:keepNext/>
      <w:tabs>
        <w:tab w:val="center" w:pos="4513"/>
      </w:tabs>
      <w:suppressAutoHyphens/>
      <w:spacing w:before="240" w:after="120"/>
      <w:ind w:left="357" w:hanging="357"/>
      <w:outlineLvl w:val="0"/>
    </w:pPr>
    <w:rPr>
      <w:rFonts w:ascii="Arial" w:hAnsi="Arial"/>
      <w:b/>
      <w:color w:val="1F497D" w:themeColor="text2"/>
      <w:sz w:val="28"/>
      <w:szCs w:val="28"/>
    </w:rPr>
  </w:style>
  <w:style w:type="paragraph" w:styleId="Heading2">
    <w:name w:val="heading 2"/>
    <w:basedOn w:val="Normal"/>
    <w:next w:val="Normal"/>
    <w:uiPriority w:val="1"/>
    <w:qFormat/>
    <w:pPr>
      <w:keepNext/>
      <w:ind w:left="360"/>
      <w:jc w:val="right"/>
      <w:outlineLvl w:val="1"/>
    </w:pPr>
    <w:rPr>
      <w:rFonts w:ascii="Arial" w:hAnsi="Arial" w:cs="Arial"/>
      <w:b/>
      <w:bCs/>
      <w:i/>
      <w:iCs/>
      <w:color w:val="FFFFFF"/>
      <w:sz w:val="48"/>
    </w:rPr>
  </w:style>
  <w:style w:type="paragraph" w:styleId="Heading3">
    <w:name w:val="heading 3"/>
    <w:basedOn w:val="Normal"/>
    <w:next w:val="Normal"/>
    <w:link w:val="Heading3Char"/>
    <w:qFormat/>
    <w:pPr>
      <w:keepNext/>
      <w:tabs>
        <w:tab w:val="left" w:pos="709"/>
        <w:tab w:val="center" w:pos="4513"/>
      </w:tabs>
      <w:suppressAutoHyphens/>
      <w:jc w:val="both"/>
      <w:outlineLvl w:val="2"/>
    </w:pPr>
    <w:rPr>
      <w:rFonts w:ascii="Arial" w:hAnsi="Arial" w:cs="Arial"/>
      <w:b/>
    </w:rPr>
  </w:style>
  <w:style w:type="paragraph" w:styleId="Heading4">
    <w:name w:val="heading 4"/>
    <w:basedOn w:val="Normal"/>
    <w:next w:val="Normal"/>
    <w:qFormat/>
    <w:pPr>
      <w:keepNext/>
      <w:ind w:firstLine="709"/>
      <w:outlineLvl w:val="3"/>
    </w:pPr>
    <w:rPr>
      <w:rFonts w:ascii="Arial" w:hAnsi="Arial" w:cs="Arial"/>
      <w:b/>
      <w:sz w:val="28"/>
      <w:u w:val="single"/>
    </w:rPr>
  </w:style>
  <w:style w:type="paragraph" w:styleId="Heading5">
    <w:name w:val="heading 5"/>
    <w:basedOn w:val="Normal"/>
    <w:next w:val="Normal"/>
    <w:qFormat/>
    <w:pPr>
      <w:keepNext/>
      <w:numPr>
        <w:numId w:val="6"/>
      </w:numPr>
      <w:suppressAutoHyphens/>
      <w:jc w:val="both"/>
      <w:outlineLvl w:val="4"/>
    </w:pPr>
    <w:rPr>
      <w:rFonts w:ascii="Arial" w:hAnsi="Arial" w:cs="Arial"/>
      <w:b/>
      <w:bCs/>
    </w:rPr>
  </w:style>
  <w:style w:type="paragraph" w:styleId="Heading6">
    <w:name w:val="heading 6"/>
    <w:basedOn w:val="Normal"/>
    <w:next w:val="Normal"/>
    <w:qFormat/>
    <w:pPr>
      <w:keepNext/>
      <w:numPr>
        <w:numId w:val="7"/>
      </w:numPr>
      <w:suppressAutoHyphens/>
      <w:jc w:val="both"/>
      <w:outlineLvl w:val="5"/>
    </w:pPr>
    <w:rPr>
      <w:rFonts w:ascii="Arial" w:hAnsi="Arial" w:cs="Arial"/>
      <w:b/>
    </w:rPr>
  </w:style>
  <w:style w:type="paragraph" w:styleId="Heading7">
    <w:name w:val="heading 7"/>
    <w:basedOn w:val="Normal"/>
    <w:next w:val="Normal"/>
    <w:qFormat/>
    <w:pPr>
      <w:keepNext/>
      <w:outlineLvl w:val="6"/>
    </w:pPr>
    <w:rPr>
      <w:rFonts w:ascii="Arial" w:hAnsi="Arial" w:cs="Arial"/>
      <w:b/>
      <w:smallCaps/>
      <w:sz w:val="28"/>
    </w:rPr>
  </w:style>
  <w:style w:type="paragraph" w:styleId="Heading8">
    <w:name w:val="heading 8"/>
    <w:basedOn w:val="Normal"/>
    <w:next w:val="Normal"/>
    <w:qFormat/>
    <w:pPr>
      <w:keepNext/>
      <w:outlineLvl w:val="7"/>
    </w:pPr>
    <w:rPr>
      <w:rFonts w:ascii="Arial" w:hAnsi="Arial" w:cs="Arial"/>
      <w:b/>
      <w:smallCaps/>
      <w:sz w:val="40"/>
    </w:rPr>
  </w:style>
  <w:style w:type="paragraph" w:styleId="Heading9">
    <w:name w:val="heading 9"/>
    <w:basedOn w:val="Normal"/>
    <w:next w:val="Normal"/>
    <w:qFormat/>
    <w:pPr>
      <w:keepNext/>
      <w:jc w:val="center"/>
      <w:outlineLvl w:val="8"/>
    </w:pPr>
    <w:rPr>
      <w:rFonts w:ascii="Arial" w:hAnsi="Arial" w:cs="Arial"/>
      <w:b/>
      <w:smallCap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link w:val="FootnoteTextChar"/>
    <w:uiPriority w:val="99"/>
    <w:semiHidden/>
  </w:style>
  <w:style w:type="character" w:styleId="FootnoteReference">
    <w:name w:val="footnote reference"/>
    <w:uiPriority w:val="99"/>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Times New Roman" w:hAnsi="Times New Roman"/>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Times New Roman" w:hAnsi="Times New Roman"/>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snapToGrid w:val="0"/>
      <w:sz w:val="24"/>
      <w:lang w:val="en-US" w:eastAsia="en-US"/>
    </w:rPr>
  </w:style>
  <w:style w:type="character" w:customStyle="1" w:styleId="DocInit">
    <w:name w:val="Doc Init"/>
    <w:basedOn w:val="DefaultParagraphFont"/>
  </w:style>
  <w:style w:type="character" w:customStyle="1" w:styleId="TechInit">
    <w:name w:val="Tech Init"/>
    <w:rPr>
      <w:rFonts w:ascii="Times New Roman" w:hAnsi="Times New Roman"/>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Times New Roman" w:hAnsi="Times New Roman"/>
      <w:noProof w:val="0"/>
      <w:sz w:val="24"/>
      <w:lang w:val="en-US"/>
    </w:rPr>
  </w:style>
  <w:style w:type="character" w:customStyle="1" w:styleId="Technical3">
    <w:name w:val="Technical 3"/>
    <w:rPr>
      <w:rFonts w:ascii="Times New Roman" w:hAnsi="Times New Roman"/>
      <w:noProof w:val="0"/>
      <w:sz w:val="24"/>
      <w:lang w:val="en-US"/>
    </w:rPr>
  </w:style>
  <w:style w:type="character" w:customStyle="1" w:styleId="Technical4">
    <w:name w:val="Technical 4"/>
    <w:basedOn w:val="DefaultParagraphFont"/>
  </w:style>
  <w:style w:type="character" w:customStyle="1" w:styleId="Technical1">
    <w:name w:val="Technical 1"/>
    <w:rPr>
      <w:rFonts w:ascii="Times New Roman" w:hAnsi="Times New Roman"/>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uiPriority w:val="39"/>
    <w:qFormat/>
    <w:rsid w:val="003A7460"/>
    <w:pPr>
      <w:tabs>
        <w:tab w:val="right" w:leader="dot" w:pos="9360"/>
      </w:tabs>
      <w:suppressAutoHyphens/>
      <w:spacing w:before="120" w:after="120"/>
      <w:ind w:left="720" w:right="720" w:hanging="720"/>
    </w:pPr>
  </w:style>
  <w:style w:type="paragraph" w:styleId="TOC2">
    <w:name w:val="toc 2"/>
    <w:basedOn w:val="Normal"/>
    <w:next w:val="Normal"/>
    <w:autoRedefine/>
    <w:uiPriority w:val="39"/>
    <w:pPr>
      <w:tabs>
        <w:tab w:val="right" w:leader="dot" w:pos="9360"/>
      </w:tabs>
      <w:suppressAutoHyphens/>
      <w:ind w:left="1440" w:right="720" w:hanging="720"/>
    </w:pPr>
  </w:style>
  <w:style w:type="paragraph" w:styleId="TOC3">
    <w:name w:val="toc 3"/>
    <w:basedOn w:val="Normal"/>
    <w:next w:val="Normal"/>
    <w:autoRedefine/>
    <w:uiPriority w:val="39"/>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720"/>
      </w:tabs>
      <w:suppressAutoHyphens/>
      <w:ind w:left="720" w:hanging="720"/>
      <w:jc w:val="both"/>
    </w:pPr>
  </w:style>
  <w:style w:type="paragraph" w:styleId="BodyTextIndent2">
    <w:name w:val="Body Text Indent 2"/>
    <w:basedOn w:val="Normal"/>
    <w:pPr>
      <w:tabs>
        <w:tab w:val="left" w:pos="-720"/>
        <w:tab w:val="left" w:pos="0"/>
      </w:tabs>
      <w:suppressAutoHyphens/>
      <w:ind w:left="720" w:hanging="720"/>
    </w:pPr>
    <w:rPr>
      <w:spacing w:val="-3"/>
    </w:rPr>
  </w:style>
  <w:style w:type="paragraph" w:styleId="BodyTextIndent3">
    <w:name w:val="Body Text Indent 3"/>
    <w:basedOn w:val="Normal"/>
    <w:pPr>
      <w:tabs>
        <w:tab w:val="left" w:pos="-720"/>
        <w:tab w:val="left" w:pos="0"/>
        <w:tab w:val="left" w:pos="720"/>
      </w:tabs>
      <w:suppressAutoHyphens/>
      <w:ind w:left="720" w:hanging="1440"/>
      <w:jc w:val="both"/>
    </w:pPr>
    <w:rPr>
      <w:spacing w:val="-3"/>
    </w:rPr>
  </w:style>
  <w:style w:type="paragraph" w:styleId="BodyText">
    <w:name w:val="Body Text"/>
    <w:basedOn w:val="Normal"/>
    <w:uiPriority w:val="1"/>
    <w:qFormat/>
    <w:pPr>
      <w:jc w:val="both"/>
    </w:pPr>
  </w:style>
  <w:style w:type="paragraph" w:styleId="BlockText">
    <w:name w:val="Block Text"/>
    <w:basedOn w:val="Normal"/>
    <w:pPr>
      <w:suppressAutoHyphens/>
      <w:ind w:left="1418" w:right="565"/>
      <w:jc w:val="both"/>
    </w:pPr>
    <w:rPr>
      <w:rFonts w:ascii="Arial" w:hAnsi="Arial" w:cs="Arial"/>
    </w:rPr>
  </w:style>
  <w:style w:type="paragraph" w:styleId="BodyText2">
    <w:name w:val="Body Text 2"/>
    <w:basedOn w:val="Normal"/>
    <w:rPr>
      <w:rFonts w:ascii="Arial" w:hAnsi="Arial" w:cs="Arial"/>
      <w:b/>
      <w:u w:val="single"/>
    </w:rPr>
  </w:style>
  <w:style w:type="character" w:styleId="Hyperlink">
    <w:name w:val="Hyperlink"/>
    <w:uiPriority w:val="99"/>
    <w:rPr>
      <w:color w:val="0000FF"/>
      <w:u w:val="single"/>
    </w:rPr>
  </w:style>
  <w:style w:type="paragraph" w:styleId="Title">
    <w:name w:val="Title"/>
    <w:basedOn w:val="Normal"/>
    <w:link w:val="TitleChar"/>
    <w:uiPriority w:val="10"/>
    <w:qFormat/>
    <w:pPr>
      <w:widowControl/>
      <w:jc w:val="center"/>
    </w:pPr>
    <w:rPr>
      <w:b/>
      <w:snapToGrid/>
      <w:sz w:val="32"/>
    </w:rPr>
  </w:style>
  <w:style w:type="paragraph" w:customStyle="1" w:styleId="TableHeading">
    <w:name w:val="Table Heading"/>
    <w:basedOn w:val="Caption"/>
    <w:next w:val="Normal"/>
    <w:pPr>
      <w:keepNext/>
      <w:suppressAutoHyphens/>
      <w:spacing w:before="120" w:after="120"/>
      <w:jc w:val="center"/>
    </w:pPr>
    <w:rPr>
      <w:rFonts w:ascii="Arial" w:hAnsi="Arial"/>
      <w:b/>
      <w:snapToGrid/>
      <w:spacing w:val="-2"/>
      <w:sz w:val="16"/>
    </w:rPr>
  </w:style>
  <w:style w:type="paragraph" w:customStyle="1" w:styleId="TableText">
    <w:name w:val="Table Text"/>
    <w:basedOn w:val="TableHeading"/>
    <w:pPr>
      <w:keepNext w:val="0"/>
      <w:keepLines/>
      <w:suppressAutoHyphens w:val="0"/>
      <w:jc w:val="left"/>
    </w:pPr>
    <w:rPr>
      <w:b w:val="0"/>
      <w:spacing w:val="0"/>
      <w:lang w:val="en-AU"/>
    </w:rPr>
  </w:style>
  <w:style w:type="paragraph" w:styleId="Subtitle">
    <w:name w:val="Subtitle"/>
    <w:basedOn w:val="Normal"/>
    <w:qFormat/>
    <w:pPr>
      <w:widowControl/>
      <w:ind w:right="651"/>
      <w:jc w:val="right"/>
    </w:pPr>
    <w:rPr>
      <w:rFonts w:ascii="Arial" w:hAnsi="Arial" w:cs="Arial"/>
      <w:i/>
      <w:iCs/>
      <w:snapToGrid/>
      <w:sz w:val="44"/>
    </w:rPr>
  </w:style>
  <w:style w:type="table" w:styleId="TableGrid">
    <w:name w:val="Table Grid"/>
    <w:basedOn w:val="TableNormal"/>
    <w:uiPriority w:val="59"/>
    <w:rsid w:val="00211D9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E7926"/>
    <w:rPr>
      <w:rFonts w:ascii="Tahoma" w:hAnsi="Tahoma" w:cs="Tahoma"/>
      <w:sz w:val="16"/>
      <w:szCs w:val="16"/>
    </w:rPr>
  </w:style>
  <w:style w:type="character" w:styleId="PageNumber">
    <w:name w:val="page number"/>
    <w:basedOn w:val="DefaultParagraphFont"/>
    <w:rsid w:val="00214C8C"/>
  </w:style>
  <w:style w:type="character" w:customStyle="1" w:styleId="FooterChar">
    <w:name w:val="Footer Char"/>
    <w:basedOn w:val="DefaultParagraphFont"/>
    <w:link w:val="Footer"/>
    <w:uiPriority w:val="99"/>
    <w:rsid w:val="00590674"/>
    <w:rPr>
      <w:snapToGrid w:val="0"/>
      <w:sz w:val="24"/>
      <w:lang w:eastAsia="en-US"/>
    </w:rPr>
  </w:style>
  <w:style w:type="paragraph" w:customStyle="1" w:styleId="Default">
    <w:name w:val="Default"/>
    <w:rsid w:val="004F65DB"/>
    <w:pPr>
      <w:autoSpaceDE w:val="0"/>
      <w:autoSpaceDN w:val="0"/>
      <w:adjustRightInd w:val="0"/>
    </w:pPr>
    <w:rPr>
      <w:rFonts w:ascii="Arial" w:hAnsi="Arial" w:cs="Arial"/>
      <w:color w:val="000000"/>
      <w:sz w:val="24"/>
      <w:szCs w:val="24"/>
    </w:rPr>
  </w:style>
  <w:style w:type="paragraph" w:styleId="ListParagraph">
    <w:name w:val="List Paragraph"/>
    <w:basedOn w:val="Normal"/>
    <w:link w:val="ListParagraphChar"/>
    <w:uiPriority w:val="34"/>
    <w:qFormat/>
    <w:rsid w:val="000241CA"/>
    <w:pPr>
      <w:ind w:left="720"/>
      <w:contextualSpacing/>
    </w:pPr>
  </w:style>
  <w:style w:type="paragraph" w:customStyle="1" w:styleId="TableParagraph">
    <w:name w:val="Table Paragraph"/>
    <w:basedOn w:val="Normal"/>
    <w:uiPriority w:val="1"/>
    <w:qFormat/>
    <w:rsid w:val="00D9406A"/>
    <w:rPr>
      <w:rFonts w:asciiTheme="minorHAnsi" w:eastAsiaTheme="minorHAnsi" w:hAnsiTheme="minorHAnsi" w:cstheme="minorBidi"/>
      <w:snapToGrid/>
      <w:sz w:val="22"/>
      <w:szCs w:val="22"/>
      <w:lang w:val="en-US"/>
    </w:rPr>
  </w:style>
  <w:style w:type="character" w:customStyle="1" w:styleId="BalloonTextChar">
    <w:name w:val="Balloon Text Char"/>
    <w:basedOn w:val="DefaultParagraphFont"/>
    <w:link w:val="BalloonText"/>
    <w:uiPriority w:val="99"/>
    <w:semiHidden/>
    <w:rsid w:val="00D9406A"/>
    <w:rPr>
      <w:rFonts w:ascii="Tahoma" w:hAnsi="Tahoma" w:cs="Tahoma"/>
      <w:snapToGrid w:val="0"/>
      <w:sz w:val="16"/>
      <w:szCs w:val="16"/>
      <w:lang w:eastAsia="en-US"/>
    </w:rPr>
  </w:style>
  <w:style w:type="character" w:customStyle="1" w:styleId="Heading3Char">
    <w:name w:val="Heading 3 Char"/>
    <w:basedOn w:val="DefaultParagraphFont"/>
    <w:link w:val="Heading3"/>
    <w:uiPriority w:val="9"/>
    <w:rsid w:val="00D9406A"/>
    <w:rPr>
      <w:rFonts w:ascii="Arial" w:hAnsi="Arial" w:cs="Arial"/>
      <w:b/>
      <w:snapToGrid w:val="0"/>
      <w:sz w:val="24"/>
      <w:lang w:eastAsia="en-US"/>
    </w:rPr>
  </w:style>
  <w:style w:type="paragraph" w:customStyle="1" w:styleId="ProjectName">
    <w:name w:val="Project Name"/>
    <w:basedOn w:val="Title"/>
    <w:rsid w:val="00D9406A"/>
    <w:pPr>
      <w:tabs>
        <w:tab w:val="left" w:pos="397"/>
      </w:tabs>
      <w:spacing w:before="400" w:after="60"/>
      <w:outlineLvl w:val="0"/>
    </w:pPr>
    <w:rPr>
      <w:rFonts w:ascii="Arial" w:hAnsi="Arial"/>
      <w:snapToGrid w:val="0"/>
      <w:color w:val="339966"/>
      <w:kern w:val="28"/>
      <w:sz w:val="48"/>
    </w:rPr>
  </w:style>
  <w:style w:type="paragraph" w:customStyle="1" w:styleId="BodyText1">
    <w:name w:val="Body Text1"/>
    <w:basedOn w:val="Normal"/>
    <w:link w:val="BodytextChar"/>
    <w:rsid w:val="00D9406A"/>
    <w:pPr>
      <w:widowControl/>
      <w:spacing w:before="120" w:after="120"/>
    </w:pPr>
    <w:rPr>
      <w:rFonts w:ascii="Arial" w:hAnsi="Arial" w:cs="Arial"/>
      <w:snapToGrid/>
      <w:sz w:val="20"/>
      <w:szCs w:val="24"/>
    </w:rPr>
  </w:style>
  <w:style w:type="paragraph" w:customStyle="1" w:styleId="StyleTableHeadingNotBoldPink">
    <w:name w:val="Style Table Heading + Not Bold Pink"/>
    <w:basedOn w:val="TableHeading"/>
    <w:rsid w:val="00D9406A"/>
    <w:pPr>
      <w:keepNext w:val="0"/>
      <w:widowControl/>
      <w:suppressAutoHyphens w:val="0"/>
      <w:spacing w:before="40" w:after="40"/>
      <w:jc w:val="left"/>
    </w:pPr>
    <w:rPr>
      <w:b w:val="0"/>
      <w:color w:val="339966"/>
      <w:spacing w:val="0"/>
      <w:sz w:val="20"/>
    </w:rPr>
  </w:style>
  <w:style w:type="paragraph" w:customStyle="1" w:styleId="StyleTableTextPink">
    <w:name w:val="Style Table Text + Pink"/>
    <w:basedOn w:val="TableText"/>
    <w:rsid w:val="00D9406A"/>
    <w:pPr>
      <w:keepLines w:val="0"/>
      <w:widowControl/>
      <w:spacing w:before="40" w:after="40"/>
    </w:pPr>
    <w:rPr>
      <w:color w:val="339966"/>
      <w:sz w:val="20"/>
      <w:lang w:val="en-GB"/>
    </w:rPr>
  </w:style>
  <w:style w:type="character" w:customStyle="1" w:styleId="BodytextChar">
    <w:name w:val="Body text Char"/>
    <w:basedOn w:val="DefaultParagraphFont"/>
    <w:link w:val="BodyText1"/>
    <w:rsid w:val="00D9406A"/>
    <w:rPr>
      <w:rFonts w:ascii="Arial" w:hAnsi="Arial" w:cs="Arial"/>
      <w:szCs w:val="24"/>
      <w:lang w:eastAsia="en-US"/>
    </w:rPr>
  </w:style>
  <w:style w:type="character" w:customStyle="1" w:styleId="TitleChar">
    <w:name w:val="Title Char"/>
    <w:basedOn w:val="DefaultParagraphFont"/>
    <w:link w:val="Title"/>
    <w:uiPriority w:val="10"/>
    <w:rsid w:val="00D9406A"/>
    <w:rPr>
      <w:b/>
      <w:sz w:val="32"/>
      <w:lang w:eastAsia="en-US"/>
    </w:rPr>
  </w:style>
  <w:style w:type="character" w:customStyle="1" w:styleId="HeaderChar">
    <w:name w:val="Header Char"/>
    <w:basedOn w:val="DefaultParagraphFont"/>
    <w:link w:val="Header"/>
    <w:uiPriority w:val="99"/>
    <w:rsid w:val="00D9406A"/>
    <w:rPr>
      <w:snapToGrid w:val="0"/>
      <w:sz w:val="24"/>
      <w:lang w:eastAsia="en-US"/>
    </w:rPr>
  </w:style>
  <w:style w:type="paragraph" w:styleId="TOCHeading">
    <w:name w:val="TOC Heading"/>
    <w:basedOn w:val="Heading1"/>
    <w:next w:val="Normal"/>
    <w:uiPriority w:val="39"/>
    <w:unhideWhenUsed/>
    <w:qFormat/>
    <w:rsid w:val="00D9406A"/>
    <w:pPr>
      <w:keepLines/>
      <w:widowControl/>
      <w:tabs>
        <w:tab w:val="clear" w:pos="4513"/>
      </w:tabs>
      <w:suppressAutoHyphens w:val="0"/>
      <w:spacing w:before="480" w:line="276" w:lineRule="auto"/>
      <w:outlineLvl w:val="9"/>
    </w:pPr>
    <w:rPr>
      <w:rFonts w:asciiTheme="majorHAnsi" w:eastAsiaTheme="majorEastAsia" w:hAnsiTheme="majorHAnsi" w:cstheme="majorBidi"/>
      <w:bCs/>
      <w:snapToGrid/>
      <w:color w:val="365F91" w:themeColor="accent1" w:themeShade="BF"/>
      <w:lang w:val="en-US" w:eastAsia="ja-JP"/>
    </w:rPr>
  </w:style>
  <w:style w:type="character" w:styleId="CommentReference">
    <w:name w:val="annotation reference"/>
    <w:basedOn w:val="DefaultParagraphFont"/>
    <w:uiPriority w:val="99"/>
    <w:semiHidden/>
    <w:unhideWhenUsed/>
    <w:rsid w:val="00D9406A"/>
    <w:rPr>
      <w:sz w:val="16"/>
      <w:szCs w:val="16"/>
    </w:rPr>
  </w:style>
  <w:style w:type="paragraph" w:styleId="CommentText">
    <w:name w:val="annotation text"/>
    <w:basedOn w:val="Normal"/>
    <w:link w:val="CommentTextChar"/>
    <w:uiPriority w:val="99"/>
    <w:unhideWhenUsed/>
    <w:rsid w:val="00D9406A"/>
    <w:rPr>
      <w:rFonts w:asciiTheme="minorHAnsi" w:eastAsiaTheme="minorHAnsi" w:hAnsiTheme="minorHAnsi" w:cstheme="minorBidi"/>
      <w:snapToGrid/>
      <w:sz w:val="20"/>
      <w:lang w:val="en-US"/>
    </w:rPr>
  </w:style>
  <w:style w:type="character" w:customStyle="1" w:styleId="CommentTextChar">
    <w:name w:val="Comment Text Char"/>
    <w:basedOn w:val="DefaultParagraphFont"/>
    <w:link w:val="CommentText"/>
    <w:uiPriority w:val="99"/>
    <w:rsid w:val="00D9406A"/>
    <w:rPr>
      <w:rFonts w:asciiTheme="minorHAnsi" w:eastAsiaTheme="minorHAnsi"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D9406A"/>
    <w:rPr>
      <w:b/>
      <w:bCs/>
    </w:rPr>
  </w:style>
  <w:style w:type="character" w:customStyle="1" w:styleId="CommentSubjectChar">
    <w:name w:val="Comment Subject Char"/>
    <w:basedOn w:val="CommentTextChar"/>
    <w:link w:val="CommentSubject"/>
    <w:uiPriority w:val="99"/>
    <w:semiHidden/>
    <w:rsid w:val="00D9406A"/>
    <w:rPr>
      <w:rFonts w:asciiTheme="minorHAnsi" w:eastAsiaTheme="minorHAnsi" w:hAnsiTheme="minorHAnsi" w:cstheme="minorBidi"/>
      <w:b/>
      <w:bCs/>
      <w:lang w:val="en-US" w:eastAsia="en-US"/>
    </w:rPr>
  </w:style>
  <w:style w:type="character" w:customStyle="1" w:styleId="FootnoteTextChar">
    <w:name w:val="Footnote Text Char"/>
    <w:link w:val="FootnoteText"/>
    <w:uiPriority w:val="99"/>
    <w:semiHidden/>
    <w:rsid w:val="003A7460"/>
    <w:rPr>
      <w:snapToGrid w:val="0"/>
      <w:sz w:val="24"/>
      <w:lang w:eastAsia="en-US"/>
    </w:rPr>
  </w:style>
  <w:style w:type="paragraph" w:customStyle="1" w:styleId="PolicyHeading">
    <w:name w:val="Policy Heading"/>
    <w:basedOn w:val="Heading1"/>
    <w:link w:val="PolicyHeadingChar"/>
    <w:autoRedefine/>
    <w:qFormat/>
    <w:rsid w:val="000D2C47"/>
    <w:pPr>
      <w:numPr>
        <w:numId w:val="8"/>
      </w:numPr>
    </w:pPr>
    <w:rPr>
      <w:sz w:val="32"/>
      <w:szCs w:val="22"/>
    </w:rPr>
  </w:style>
  <w:style w:type="character" w:customStyle="1" w:styleId="Heading1Char">
    <w:name w:val="Heading 1 Char"/>
    <w:basedOn w:val="DefaultParagraphFont"/>
    <w:link w:val="Heading1"/>
    <w:uiPriority w:val="1"/>
    <w:rsid w:val="007947EE"/>
    <w:rPr>
      <w:rFonts w:ascii="Arial" w:hAnsi="Arial"/>
      <w:b/>
      <w:snapToGrid w:val="0"/>
      <w:color w:val="1F497D" w:themeColor="text2"/>
      <w:sz w:val="28"/>
      <w:szCs w:val="28"/>
      <w:lang w:eastAsia="en-US"/>
    </w:rPr>
  </w:style>
  <w:style w:type="character" w:customStyle="1" w:styleId="PolicyHeadingChar">
    <w:name w:val="Policy Heading Char"/>
    <w:basedOn w:val="Heading1Char"/>
    <w:link w:val="PolicyHeading"/>
    <w:rsid w:val="000D2C47"/>
    <w:rPr>
      <w:rFonts w:ascii="Arial" w:hAnsi="Arial"/>
      <w:b/>
      <w:snapToGrid w:val="0"/>
      <w:color w:val="1F497D" w:themeColor="text2"/>
      <w:sz w:val="32"/>
      <w:szCs w:val="22"/>
      <w:lang w:eastAsia="en-US"/>
    </w:rPr>
  </w:style>
  <w:style w:type="character" w:styleId="UnresolvedMention">
    <w:name w:val="Unresolved Mention"/>
    <w:basedOn w:val="DefaultParagraphFont"/>
    <w:uiPriority w:val="99"/>
    <w:semiHidden/>
    <w:unhideWhenUsed/>
    <w:rsid w:val="0036259D"/>
    <w:rPr>
      <w:color w:val="605E5C"/>
      <w:shd w:val="clear" w:color="auto" w:fill="E1DFDD"/>
    </w:rPr>
  </w:style>
  <w:style w:type="character" w:customStyle="1" w:styleId="ListParagraphChar">
    <w:name w:val="List Paragraph Char"/>
    <w:link w:val="ListParagraph"/>
    <w:uiPriority w:val="34"/>
    <w:locked/>
    <w:rsid w:val="0074052B"/>
    <w:rPr>
      <w:snapToGrid w:val="0"/>
      <w:sz w:val="24"/>
      <w:lang w:eastAsia="en-US"/>
    </w:rPr>
  </w:style>
  <w:style w:type="table" w:styleId="ListTable1Light-Accent4">
    <w:name w:val="List Table 1 Light Accent 4"/>
    <w:basedOn w:val="TableNormal"/>
    <w:uiPriority w:val="46"/>
    <w:rsid w:val="006B519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6">
    <w:name w:val="List Table 2 Accent 6"/>
    <w:basedOn w:val="TableNormal"/>
    <w:uiPriority w:val="47"/>
    <w:rsid w:val="006B519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Accent1">
    <w:name w:val="List Table 2 Accent 1"/>
    <w:basedOn w:val="TableNormal"/>
    <w:uiPriority w:val="47"/>
    <w:rsid w:val="006B519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39562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5616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1Light-Accent1">
    <w:name w:val="Grid Table 1 Light Accent 1"/>
    <w:basedOn w:val="TableNormal"/>
    <w:uiPriority w:val="46"/>
    <w:rsid w:val="00AA701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Spacing">
    <w:name w:val="No Spacing"/>
    <w:uiPriority w:val="1"/>
    <w:qFormat/>
    <w:rsid w:val="009768E5"/>
    <w:pPr>
      <w:widowControl w:val="0"/>
    </w:pPr>
    <w:rPr>
      <w:snapToGrid w:val="0"/>
      <w:sz w:val="24"/>
      <w:lang w:eastAsia="en-US"/>
    </w:rPr>
  </w:style>
  <w:style w:type="character" w:styleId="Emphasis">
    <w:name w:val="Emphasis"/>
    <w:basedOn w:val="DefaultParagraphFont"/>
    <w:uiPriority w:val="20"/>
    <w:qFormat/>
    <w:rsid w:val="00D35807"/>
    <w:rPr>
      <w:i/>
      <w:iCs/>
    </w:rPr>
  </w:style>
  <w:style w:type="character" w:styleId="FollowedHyperlink">
    <w:name w:val="FollowedHyperlink"/>
    <w:basedOn w:val="DefaultParagraphFont"/>
    <w:uiPriority w:val="99"/>
    <w:semiHidden/>
    <w:unhideWhenUsed/>
    <w:rsid w:val="002A138A"/>
    <w:rPr>
      <w:color w:val="800080" w:themeColor="followedHyperlink"/>
      <w:u w:val="single"/>
    </w:rPr>
  </w:style>
  <w:style w:type="paragraph" w:styleId="Revision">
    <w:name w:val="Revision"/>
    <w:hidden/>
    <w:uiPriority w:val="99"/>
    <w:semiHidden/>
    <w:rsid w:val="00B2735C"/>
    <w:rPr>
      <w:snapToGrid w:val="0"/>
      <w:sz w:val="24"/>
      <w:lang w:eastAsia="en-US"/>
    </w:rPr>
  </w:style>
  <w:style w:type="table" w:styleId="ListTable1Light-Accent1">
    <w:name w:val="List Table 1 Light Accent 1"/>
    <w:basedOn w:val="TableNormal"/>
    <w:uiPriority w:val="46"/>
    <w:rsid w:val="00924D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dq2pgselectionanchorcontainer">
    <w:name w:val="pdq2pg_selectionanchorcontainer"/>
    <w:basedOn w:val="Normal"/>
    <w:rsid w:val="00B223F1"/>
    <w:pPr>
      <w:widowControl/>
      <w:spacing w:before="100" w:beforeAutospacing="1" w:after="100" w:afterAutospacing="1"/>
    </w:pPr>
    <w:rPr>
      <w:snapToGrid/>
      <w:szCs w:val="24"/>
      <w:lang w:eastAsia="en-GB"/>
    </w:rPr>
  </w:style>
  <w:style w:type="paragraph" w:styleId="NormalWeb">
    <w:name w:val="Normal (Web)"/>
    <w:basedOn w:val="Normal"/>
    <w:uiPriority w:val="99"/>
    <w:semiHidden/>
    <w:unhideWhenUsed/>
    <w:rsid w:val="00B223F1"/>
    <w:pPr>
      <w:widowControl/>
      <w:spacing w:before="100" w:beforeAutospacing="1" w:after="100" w:afterAutospacing="1"/>
    </w:pPr>
    <w:rPr>
      <w:snapToGrid/>
      <w:szCs w:val="24"/>
      <w:lang w:eastAsia="en-GB"/>
    </w:rPr>
  </w:style>
  <w:style w:type="character" w:styleId="Strong">
    <w:name w:val="Strong"/>
    <w:basedOn w:val="DefaultParagraphFont"/>
    <w:uiPriority w:val="22"/>
    <w:qFormat/>
    <w:rsid w:val="00B223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0559">
      <w:bodyDiv w:val="1"/>
      <w:marLeft w:val="0"/>
      <w:marRight w:val="0"/>
      <w:marTop w:val="0"/>
      <w:marBottom w:val="0"/>
      <w:divBdr>
        <w:top w:val="none" w:sz="0" w:space="0" w:color="auto"/>
        <w:left w:val="none" w:sz="0" w:space="0" w:color="auto"/>
        <w:bottom w:val="none" w:sz="0" w:space="0" w:color="auto"/>
        <w:right w:val="none" w:sz="0" w:space="0" w:color="auto"/>
      </w:divBdr>
    </w:div>
    <w:div w:id="151719018">
      <w:bodyDiv w:val="1"/>
      <w:marLeft w:val="0"/>
      <w:marRight w:val="0"/>
      <w:marTop w:val="0"/>
      <w:marBottom w:val="0"/>
      <w:divBdr>
        <w:top w:val="none" w:sz="0" w:space="0" w:color="auto"/>
        <w:left w:val="none" w:sz="0" w:space="0" w:color="auto"/>
        <w:bottom w:val="none" w:sz="0" w:space="0" w:color="auto"/>
        <w:right w:val="none" w:sz="0" w:space="0" w:color="auto"/>
      </w:divBdr>
    </w:div>
    <w:div w:id="224688556">
      <w:bodyDiv w:val="1"/>
      <w:marLeft w:val="0"/>
      <w:marRight w:val="0"/>
      <w:marTop w:val="0"/>
      <w:marBottom w:val="0"/>
      <w:divBdr>
        <w:top w:val="none" w:sz="0" w:space="0" w:color="auto"/>
        <w:left w:val="none" w:sz="0" w:space="0" w:color="auto"/>
        <w:bottom w:val="none" w:sz="0" w:space="0" w:color="auto"/>
        <w:right w:val="none" w:sz="0" w:space="0" w:color="auto"/>
      </w:divBdr>
    </w:div>
    <w:div w:id="522744358">
      <w:bodyDiv w:val="1"/>
      <w:marLeft w:val="0"/>
      <w:marRight w:val="0"/>
      <w:marTop w:val="0"/>
      <w:marBottom w:val="0"/>
      <w:divBdr>
        <w:top w:val="none" w:sz="0" w:space="0" w:color="auto"/>
        <w:left w:val="none" w:sz="0" w:space="0" w:color="auto"/>
        <w:bottom w:val="none" w:sz="0" w:space="0" w:color="auto"/>
        <w:right w:val="none" w:sz="0" w:space="0" w:color="auto"/>
      </w:divBdr>
    </w:div>
    <w:div w:id="610554634">
      <w:bodyDiv w:val="1"/>
      <w:marLeft w:val="0"/>
      <w:marRight w:val="0"/>
      <w:marTop w:val="0"/>
      <w:marBottom w:val="0"/>
      <w:divBdr>
        <w:top w:val="none" w:sz="0" w:space="0" w:color="auto"/>
        <w:left w:val="none" w:sz="0" w:space="0" w:color="auto"/>
        <w:bottom w:val="none" w:sz="0" w:space="0" w:color="auto"/>
        <w:right w:val="none" w:sz="0" w:space="0" w:color="auto"/>
      </w:divBdr>
    </w:div>
    <w:div w:id="648049543">
      <w:bodyDiv w:val="1"/>
      <w:marLeft w:val="0"/>
      <w:marRight w:val="0"/>
      <w:marTop w:val="0"/>
      <w:marBottom w:val="0"/>
      <w:divBdr>
        <w:top w:val="none" w:sz="0" w:space="0" w:color="auto"/>
        <w:left w:val="none" w:sz="0" w:space="0" w:color="auto"/>
        <w:bottom w:val="none" w:sz="0" w:space="0" w:color="auto"/>
        <w:right w:val="none" w:sz="0" w:space="0" w:color="auto"/>
      </w:divBdr>
    </w:div>
    <w:div w:id="815292946">
      <w:bodyDiv w:val="1"/>
      <w:marLeft w:val="0"/>
      <w:marRight w:val="0"/>
      <w:marTop w:val="0"/>
      <w:marBottom w:val="0"/>
      <w:divBdr>
        <w:top w:val="none" w:sz="0" w:space="0" w:color="auto"/>
        <w:left w:val="none" w:sz="0" w:space="0" w:color="auto"/>
        <w:bottom w:val="none" w:sz="0" w:space="0" w:color="auto"/>
        <w:right w:val="none" w:sz="0" w:space="0" w:color="auto"/>
      </w:divBdr>
      <w:divsChild>
        <w:div w:id="419376189">
          <w:marLeft w:val="547"/>
          <w:marRight w:val="0"/>
          <w:marTop w:val="0"/>
          <w:marBottom w:val="0"/>
          <w:divBdr>
            <w:top w:val="none" w:sz="0" w:space="0" w:color="auto"/>
            <w:left w:val="none" w:sz="0" w:space="0" w:color="auto"/>
            <w:bottom w:val="none" w:sz="0" w:space="0" w:color="auto"/>
            <w:right w:val="none" w:sz="0" w:space="0" w:color="auto"/>
          </w:divBdr>
        </w:div>
      </w:divsChild>
    </w:div>
    <w:div w:id="989596563">
      <w:bodyDiv w:val="1"/>
      <w:marLeft w:val="0"/>
      <w:marRight w:val="0"/>
      <w:marTop w:val="0"/>
      <w:marBottom w:val="0"/>
      <w:divBdr>
        <w:top w:val="none" w:sz="0" w:space="0" w:color="auto"/>
        <w:left w:val="none" w:sz="0" w:space="0" w:color="auto"/>
        <w:bottom w:val="none" w:sz="0" w:space="0" w:color="auto"/>
        <w:right w:val="none" w:sz="0" w:space="0" w:color="auto"/>
      </w:divBdr>
    </w:div>
    <w:div w:id="1060789053">
      <w:bodyDiv w:val="1"/>
      <w:marLeft w:val="0"/>
      <w:marRight w:val="0"/>
      <w:marTop w:val="0"/>
      <w:marBottom w:val="0"/>
      <w:divBdr>
        <w:top w:val="none" w:sz="0" w:space="0" w:color="auto"/>
        <w:left w:val="none" w:sz="0" w:space="0" w:color="auto"/>
        <w:bottom w:val="none" w:sz="0" w:space="0" w:color="auto"/>
        <w:right w:val="none" w:sz="0" w:space="0" w:color="auto"/>
      </w:divBdr>
    </w:div>
    <w:div w:id="1170563412">
      <w:bodyDiv w:val="1"/>
      <w:marLeft w:val="0"/>
      <w:marRight w:val="0"/>
      <w:marTop w:val="0"/>
      <w:marBottom w:val="0"/>
      <w:divBdr>
        <w:top w:val="none" w:sz="0" w:space="0" w:color="auto"/>
        <w:left w:val="none" w:sz="0" w:space="0" w:color="auto"/>
        <w:bottom w:val="none" w:sz="0" w:space="0" w:color="auto"/>
        <w:right w:val="none" w:sz="0" w:space="0" w:color="auto"/>
      </w:divBdr>
    </w:div>
    <w:div w:id="1259366083">
      <w:bodyDiv w:val="1"/>
      <w:marLeft w:val="0"/>
      <w:marRight w:val="0"/>
      <w:marTop w:val="0"/>
      <w:marBottom w:val="0"/>
      <w:divBdr>
        <w:top w:val="none" w:sz="0" w:space="0" w:color="auto"/>
        <w:left w:val="none" w:sz="0" w:space="0" w:color="auto"/>
        <w:bottom w:val="none" w:sz="0" w:space="0" w:color="auto"/>
        <w:right w:val="none" w:sz="0" w:space="0" w:color="auto"/>
      </w:divBdr>
    </w:div>
    <w:div w:id="1349866250">
      <w:bodyDiv w:val="1"/>
      <w:marLeft w:val="0"/>
      <w:marRight w:val="0"/>
      <w:marTop w:val="0"/>
      <w:marBottom w:val="0"/>
      <w:divBdr>
        <w:top w:val="none" w:sz="0" w:space="0" w:color="auto"/>
        <w:left w:val="none" w:sz="0" w:space="0" w:color="auto"/>
        <w:bottom w:val="none" w:sz="0" w:space="0" w:color="auto"/>
        <w:right w:val="none" w:sz="0" w:space="0" w:color="auto"/>
      </w:divBdr>
    </w:div>
    <w:div w:id="1472215901">
      <w:bodyDiv w:val="1"/>
      <w:marLeft w:val="0"/>
      <w:marRight w:val="0"/>
      <w:marTop w:val="0"/>
      <w:marBottom w:val="0"/>
      <w:divBdr>
        <w:top w:val="none" w:sz="0" w:space="0" w:color="auto"/>
        <w:left w:val="none" w:sz="0" w:space="0" w:color="auto"/>
        <w:bottom w:val="none" w:sz="0" w:space="0" w:color="auto"/>
        <w:right w:val="none" w:sz="0" w:space="0" w:color="auto"/>
      </w:divBdr>
    </w:div>
    <w:div w:id="1755857910">
      <w:bodyDiv w:val="1"/>
      <w:marLeft w:val="0"/>
      <w:marRight w:val="0"/>
      <w:marTop w:val="0"/>
      <w:marBottom w:val="0"/>
      <w:divBdr>
        <w:top w:val="none" w:sz="0" w:space="0" w:color="auto"/>
        <w:left w:val="none" w:sz="0" w:space="0" w:color="auto"/>
        <w:bottom w:val="none" w:sz="0" w:space="0" w:color="auto"/>
        <w:right w:val="none" w:sz="0" w:space="0" w:color="auto"/>
      </w:divBdr>
    </w:div>
    <w:div w:id="1895774496">
      <w:bodyDiv w:val="1"/>
      <w:marLeft w:val="0"/>
      <w:marRight w:val="0"/>
      <w:marTop w:val="0"/>
      <w:marBottom w:val="0"/>
      <w:divBdr>
        <w:top w:val="none" w:sz="0" w:space="0" w:color="auto"/>
        <w:left w:val="none" w:sz="0" w:space="0" w:color="auto"/>
        <w:bottom w:val="none" w:sz="0" w:space="0" w:color="auto"/>
        <w:right w:val="none" w:sz="0" w:space="0" w:color="auto"/>
      </w:divBdr>
    </w:div>
    <w:div w:id="212372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package" Target="embeddings/Microsoft_Excel_Worksheet2.xlsx"/><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 Id="rId22" Type="http://schemas.openxmlformats.org/officeDocument/2006/relationships/package" Target="embeddings/Microsoft_Excel_Worksheet4.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0c778aa1-265b-4f19-a095-2917cdeac7ff" xsi:nil="true"/>
    <lcf76f155ced4ddcb4097134ff3c332f xmlns="6b80534c-36dd-48dc-a935-71d0ba21b22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0821FF2A52BB4BA76DA2E7D689F628" ma:contentTypeVersion="14" ma:contentTypeDescription="Create a new document." ma:contentTypeScope="" ma:versionID="cc6f0b4637adce99ab1a2075619db29e">
  <xsd:schema xmlns:xsd="http://www.w3.org/2001/XMLSchema" xmlns:xs="http://www.w3.org/2001/XMLSchema" xmlns:p="http://schemas.microsoft.com/office/2006/metadata/properties" xmlns:ns1="http://schemas.microsoft.com/sharepoint/v3" xmlns:ns2="6b80534c-36dd-48dc-a935-71d0ba21b225" xmlns:ns3="0c778aa1-265b-4f19-a095-2917cdeac7ff" targetNamespace="http://schemas.microsoft.com/office/2006/metadata/properties" ma:root="true" ma:fieldsID="aa4e76ff65be8a9a69ab06a22bc56dca" ns1:_="" ns2:_="" ns3:_="">
    <xsd:import namespace="http://schemas.microsoft.com/sharepoint/v3"/>
    <xsd:import namespace="6b80534c-36dd-48dc-a935-71d0ba21b225"/>
    <xsd:import namespace="0c778aa1-265b-4f19-a095-2917cdeac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80534c-36dd-48dc-a935-71d0ba21b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78aa1-265b-4f19-a095-2917cdeac7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1310c5-89ae-4f32-a996-5175d54e9425}" ma:internalName="TaxCatchAll" ma:showField="CatchAllData" ma:web="0c778aa1-265b-4f19-a095-2917cdeac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5EE46-8707-4B70-A337-2910EE4AE24B}">
  <ds:schemaRefs>
    <ds:schemaRef ds:uri="http://schemas.openxmlformats.org/officeDocument/2006/bibliography"/>
  </ds:schemaRefs>
</ds:datastoreItem>
</file>

<file path=customXml/itemProps2.xml><?xml version="1.0" encoding="utf-8"?>
<ds:datastoreItem xmlns:ds="http://schemas.openxmlformats.org/officeDocument/2006/customXml" ds:itemID="{47639D3C-6697-4AC9-8213-A84EB493881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7BBCBA6-4FA4-4A38-890D-37C5F06CC7FF}"/>
</file>

<file path=customXml/itemProps4.xml><?xml version="1.0" encoding="utf-8"?>
<ds:datastoreItem xmlns:ds="http://schemas.openxmlformats.org/officeDocument/2006/customXml" ds:itemID="{0121FB82-41B3-4F57-8686-99CC4E304DE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8006</Words>
  <Characters>51960</Characters>
  <Application>Microsoft Office Word</Application>
  <DocSecurity>0</DocSecurity>
  <Lines>1180</Lines>
  <Paragraphs>464</Paragraphs>
  <ScaleCrop>false</ScaleCrop>
  <Company>RSMTenon</Company>
  <LinksUpToDate>false</LinksUpToDate>
  <CharactersWithSpaces>59502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Process</dc:title>
  <dc:subject/>
  <dc:creator>Kieth Dayment</dc:creator>
  <cp:keywords/>
  <cp:lastModifiedBy>CARTER, Loran (NHS BRISTOL, NORTH SOMERSET AND SOUTH GLOUCESTERSHIRE ICB - 15C)</cp:lastModifiedBy>
  <cp:revision>2</cp:revision>
  <cp:lastPrinted>2014-09-03T09:05:00Z</cp:lastPrinted>
  <dcterms:created xsi:type="dcterms:W3CDTF">2026-09-29T12:31:00Z</dcterms:created>
  <dcterms:modified xsi:type="dcterms:W3CDTF">2026-09-29T12:31:00Z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Gina Mann</vt:lpwstr>
  </property>
  <property fmtid="{D5CDD505-2E9C-101B-9397-08002B2CF9AE}" pid="4" name="Status">
    <vt:lpwstr>Final</vt:lpwstr>
  </property>
  <property fmtid="{D5CDD505-2E9C-101B-9397-08002B2CF9AE}" pid="5" name="ContentTypeId">
    <vt:lpwstr>0x0101001D0821FF2A52BB4BA76DA2E7D689F628</vt:lpwstr>
  </property>
  <property fmtid="{D5CDD505-2E9C-101B-9397-08002B2CF9AE}" pid="6" name="MediaServiceImageTags">
    <vt:lpwstr/>
  </property>
  <property fmtid="{D5CDD505-2E9C-101B-9397-08002B2CF9AE}" pid="7" name="docLang">
    <vt:lpwstr>en</vt:lpwstr>
  </property>
</Properties>
</file>